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04CC" w14:textId="15315D43" w:rsidR="00F75F8A" w:rsidRPr="00A46307" w:rsidRDefault="00F75F8A" w:rsidP="00F75F8A">
      <w:pPr>
        <w:spacing w:after="0" w:line="240" w:lineRule="auto"/>
        <w:rPr>
          <w:rFonts w:ascii="Times New Roman" w:hAnsi="Times New Roman" w:cs="Times New Roman"/>
        </w:rPr>
      </w:pPr>
      <w:r w:rsidRPr="00A46307">
        <w:rPr>
          <w:rFonts w:ascii="Times New Roman" w:hAnsi="Times New Roman" w:cs="Times New Roman"/>
          <w:b/>
          <w:bCs/>
        </w:rPr>
        <w:t>CROPS:</w:t>
      </w:r>
      <w:r w:rsidRPr="00A46307">
        <w:rPr>
          <w:rFonts w:ascii="Times New Roman" w:hAnsi="Times New Roman" w:cs="Times New Roman"/>
        </w:rPr>
        <w:tab/>
        <w:t>Canola (</w:t>
      </w:r>
      <w:r w:rsidRPr="00A46307">
        <w:rPr>
          <w:rFonts w:ascii="Times New Roman" w:hAnsi="Times New Roman" w:cs="Times New Roman"/>
          <w:i/>
          <w:iCs/>
        </w:rPr>
        <w:t>Brassica napus</w:t>
      </w:r>
      <w:r w:rsidRPr="00A46307">
        <w:rPr>
          <w:rFonts w:ascii="Times New Roman" w:hAnsi="Times New Roman" w:cs="Times New Roman"/>
        </w:rPr>
        <w:t>) cv. InVigor L233P</w:t>
      </w:r>
    </w:p>
    <w:p w14:paraId="03FCD1A4" w14:textId="77777777" w:rsidR="00F75F8A" w:rsidRPr="00A46307" w:rsidRDefault="00F75F8A" w:rsidP="00F75F8A">
      <w:pPr>
        <w:spacing w:after="0" w:line="240" w:lineRule="auto"/>
        <w:rPr>
          <w:rFonts w:ascii="Times New Roman" w:hAnsi="Times New Roman" w:cs="Times New Roman"/>
        </w:rPr>
      </w:pPr>
      <w:r w:rsidRPr="00A46307">
        <w:rPr>
          <w:rFonts w:ascii="Times New Roman" w:hAnsi="Times New Roman" w:cs="Times New Roman"/>
          <w:b/>
          <w:bCs/>
        </w:rPr>
        <w:t>PEST:</w:t>
      </w:r>
      <w:r w:rsidRPr="00A46307">
        <w:rPr>
          <w:rFonts w:ascii="Times New Roman" w:hAnsi="Times New Roman" w:cs="Times New Roman"/>
        </w:rPr>
        <w:tab/>
      </w:r>
      <w:r w:rsidRPr="00A46307">
        <w:rPr>
          <w:rFonts w:ascii="Times New Roman" w:hAnsi="Times New Roman" w:cs="Times New Roman"/>
        </w:rPr>
        <w:tab/>
        <w:t>Clubroot (</w:t>
      </w:r>
      <w:r w:rsidRPr="00A46307">
        <w:rPr>
          <w:rFonts w:ascii="Times New Roman" w:hAnsi="Times New Roman" w:cs="Times New Roman"/>
          <w:i/>
          <w:iCs/>
        </w:rPr>
        <w:t>Plasmodiophora brassicae</w:t>
      </w:r>
      <w:r w:rsidRPr="00A46307">
        <w:rPr>
          <w:rFonts w:ascii="Times New Roman" w:hAnsi="Times New Roman" w:cs="Times New Roman"/>
        </w:rPr>
        <w:t xml:space="preserve"> Woronin)</w:t>
      </w:r>
    </w:p>
    <w:p w14:paraId="150337A7" w14:textId="77777777" w:rsidR="00F75F8A" w:rsidRDefault="00F75F8A" w:rsidP="00F75F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7AC88D" w14:textId="77777777" w:rsidR="00F75F8A" w:rsidRPr="00A46307" w:rsidRDefault="00F75F8A" w:rsidP="00F75F8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46307">
        <w:rPr>
          <w:rFonts w:ascii="Times New Roman" w:hAnsi="Times New Roman" w:cs="Times New Roman"/>
          <w:b/>
          <w:bCs/>
        </w:rPr>
        <w:t>AUTHORS:</w:t>
      </w:r>
      <w:r w:rsidRPr="00A46307">
        <w:rPr>
          <w:rFonts w:ascii="Times New Roman" w:hAnsi="Times New Roman" w:cs="Times New Roman"/>
        </w:rPr>
        <w:tab/>
        <w:t>CHESNEY SG</w:t>
      </w:r>
      <w:r w:rsidRPr="00A46307">
        <w:rPr>
          <w:rFonts w:ascii="Times New Roman" w:hAnsi="Times New Roman" w:cs="Times New Roman"/>
          <w:vertAlign w:val="superscript"/>
        </w:rPr>
        <w:t>1</w:t>
      </w:r>
      <w:r w:rsidRPr="00A46307">
        <w:rPr>
          <w:rFonts w:ascii="Times New Roman" w:hAnsi="Times New Roman" w:cs="Times New Roman"/>
        </w:rPr>
        <w:t>, GOSSEN BD</w:t>
      </w:r>
      <w:r w:rsidRPr="00A4630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&amp;</w:t>
      </w:r>
      <w:r w:rsidRPr="00A46307">
        <w:rPr>
          <w:rFonts w:ascii="Times New Roman" w:hAnsi="Times New Roman" w:cs="Times New Roman"/>
        </w:rPr>
        <w:t xml:space="preserve"> MCDONALD MR</w:t>
      </w:r>
      <w:r w:rsidRPr="00A46307">
        <w:rPr>
          <w:rFonts w:ascii="Times New Roman" w:hAnsi="Times New Roman" w:cs="Times New Roman"/>
          <w:vertAlign w:val="superscript"/>
        </w:rPr>
        <w:t>1</w:t>
      </w:r>
    </w:p>
    <w:p w14:paraId="7C6C9C9D" w14:textId="77777777" w:rsidR="00F75F8A" w:rsidRPr="00A46307" w:rsidRDefault="00F75F8A" w:rsidP="00F75F8A">
      <w:pPr>
        <w:spacing w:after="0" w:line="240" w:lineRule="auto"/>
        <w:rPr>
          <w:rFonts w:ascii="Times New Roman" w:hAnsi="Times New Roman" w:cs="Times New Roman"/>
        </w:rPr>
      </w:pPr>
      <w:r w:rsidRPr="00A46307">
        <w:rPr>
          <w:rFonts w:ascii="Times New Roman" w:hAnsi="Times New Roman" w:cs="Times New Roman"/>
        </w:rPr>
        <w:tab/>
      </w:r>
      <w:r w:rsidRPr="00A46307">
        <w:rPr>
          <w:rFonts w:ascii="Times New Roman" w:hAnsi="Times New Roman" w:cs="Times New Roman"/>
        </w:rPr>
        <w:tab/>
      </w:r>
      <w:r w:rsidRPr="00A46307">
        <w:rPr>
          <w:rFonts w:ascii="Times New Roman" w:hAnsi="Times New Roman" w:cs="Times New Roman"/>
          <w:vertAlign w:val="superscript"/>
        </w:rPr>
        <w:t>1</w:t>
      </w:r>
      <w:r w:rsidRPr="00A46307">
        <w:rPr>
          <w:rFonts w:ascii="Times New Roman" w:hAnsi="Times New Roman" w:cs="Times New Roman"/>
        </w:rPr>
        <w:t>University of Guelph, Department of Plant Agriculture, Guelph</w:t>
      </w:r>
    </w:p>
    <w:p w14:paraId="6DC1399B" w14:textId="77777777" w:rsidR="00F75F8A" w:rsidRPr="00A46307" w:rsidRDefault="00F75F8A" w:rsidP="00F75F8A">
      <w:pPr>
        <w:spacing w:after="0" w:line="240" w:lineRule="auto"/>
        <w:rPr>
          <w:rFonts w:ascii="Times New Roman" w:hAnsi="Times New Roman" w:cs="Times New Roman"/>
        </w:rPr>
      </w:pPr>
      <w:r w:rsidRPr="00A46307">
        <w:rPr>
          <w:rFonts w:ascii="Times New Roman" w:hAnsi="Times New Roman" w:cs="Times New Roman"/>
        </w:rPr>
        <w:tab/>
      </w:r>
      <w:r w:rsidRPr="00A46307">
        <w:rPr>
          <w:rFonts w:ascii="Times New Roman" w:hAnsi="Times New Roman" w:cs="Times New Roman"/>
        </w:rPr>
        <w:tab/>
      </w:r>
      <w:r w:rsidRPr="00A46307">
        <w:rPr>
          <w:rFonts w:ascii="Times New Roman" w:hAnsi="Times New Roman" w:cs="Times New Roman"/>
          <w:vertAlign w:val="superscript"/>
        </w:rPr>
        <w:t>2</w:t>
      </w:r>
      <w:r w:rsidRPr="00A46307">
        <w:rPr>
          <w:rFonts w:ascii="Times New Roman" w:hAnsi="Times New Roman" w:cs="Times New Roman"/>
        </w:rPr>
        <w:t>Agriculture and Agri-Food Canada, Saskatoon</w:t>
      </w:r>
    </w:p>
    <w:p w14:paraId="28CBD1D7" w14:textId="77777777" w:rsidR="00F75F8A" w:rsidRDefault="00F75F8A" w:rsidP="00F75F8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</w:p>
    <w:p w14:paraId="2E3DF98D" w14:textId="7CF16109" w:rsidR="00F75F8A" w:rsidRDefault="00F75F8A" w:rsidP="00F75F8A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00A46307">
        <w:rPr>
          <w:rFonts w:ascii="Times New Roman" w:hAnsi="Times New Roman" w:cs="Times New Roman"/>
          <w:b/>
          <w:bCs/>
        </w:rPr>
        <w:t>TITLE:</w:t>
      </w:r>
      <w:r w:rsidRPr="00A46307">
        <w:rPr>
          <w:rFonts w:ascii="Times New Roman" w:hAnsi="Times New Roman" w:cs="Times New Roman"/>
          <w:b/>
          <w:bCs/>
        </w:rPr>
        <w:tab/>
      </w:r>
      <w:r w:rsidR="00A9705C">
        <w:rPr>
          <w:rFonts w:ascii="Times New Roman" w:hAnsi="Times New Roman" w:cs="Times New Roman"/>
          <w:b/>
          <w:bCs/>
        </w:rPr>
        <w:t xml:space="preserve">GROWTH ROOM STUDY OF </w:t>
      </w:r>
      <w:r w:rsidRPr="00A46307">
        <w:rPr>
          <w:rFonts w:ascii="Times New Roman" w:hAnsi="Times New Roman" w:cs="Times New Roman"/>
          <w:b/>
          <w:bCs/>
        </w:rPr>
        <w:t xml:space="preserve">THE INTERACTION OF BORON AND </w:t>
      </w:r>
      <w:r>
        <w:rPr>
          <w:rFonts w:ascii="Times New Roman" w:hAnsi="Times New Roman" w:cs="Times New Roman"/>
          <w:b/>
          <w:bCs/>
        </w:rPr>
        <w:t xml:space="preserve">LIME </w:t>
      </w:r>
      <w:r w:rsidRPr="00A46307">
        <w:rPr>
          <w:rFonts w:ascii="Times New Roman" w:hAnsi="Times New Roman" w:cs="Times New Roman"/>
          <w:b/>
          <w:bCs/>
        </w:rPr>
        <w:t>ON THE SEVERITY OF CLUBROOT IN CANOLA</w:t>
      </w:r>
    </w:p>
    <w:p w14:paraId="1A9B64E6" w14:textId="77777777" w:rsidR="00F75F8A" w:rsidRDefault="00F75F8A" w:rsidP="00F75F8A"/>
    <w:p w14:paraId="567A9AC1" w14:textId="7158B889" w:rsidR="00F75F8A" w:rsidRPr="005F64C2" w:rsidRDefault="00F75F8A" w:rsidP="00F75F8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MATERIALS:</w:t>
      </w:r>
      <w:r>
        <w:rPr>
          <w:rFonts w:ascii="Times New Roman" w:hAnsi="Times New Roman" w:cs="Times New Roman"/>
        </w:rPr>
        <w:t xml:space="preserve"> HYDRATED LIME (calcium hydroxide), SOLUBOR </w:t>
      </w:r>
      <w:r w:rsidRPr="00A46307">
        <w:rPr>
          <w:rFonts w:ascii="Times New Roman" w:hAnsi="Times New Roman" w:cs="Times New Roman"/>
        </w:rPr>
        <w:t>(20.5% B, disodium octaborate tetrahydrate)</w:t>
      </w:r>
    </w:p>
    <w:p w14:paraId="388FB7BA" w14:textId="77777777" w:rsidR="00F75F8A" w:rsidRPr="00CF1C9F" w:rsidRDefault="00F75F8A" w:rsidP="00F75F8A">
      <w:pPr>
        <w:rPr>
          <w:rFonts w:ascii="Times New Roman" w:hAnsi="Times New Roman" w:cs="Times New Roman"/>
        </w:rPr>
      </w:pPr>
    </w:p>
    <w:p w14:paraId="61917E6B" w14:textId="004D7C2C" w:rsidR="002271EC" w:rsidRDefault="00F75F8A" w:rsidP="00F441EE">
      <w:pPr>
        <w:spacing w:after="0"/>
        <w:rPr>
          <w:rFonts w:ascii="Times New Roman" w:hAnsi="Times New Roman" w:cs="Times New Roman"/>
        </w:rPr>
      </w:pPr>
      <w:r w:rsidRPr="00CF1C9F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>: A study was conducted to</w:t>
      </w:r>
      <w:r w:rsidR="00A9705C">
        <w:rPr>
          <w:rFonts w:ascii="Times New Roman" w:hAnsi="Times New Roman" w:cs="Times New Roman"/>
        </w:rPr>
        <w:t xml:space="preserve"> examin</w:t>
      </w:r>
      <w:r w:rsidR="00997178">
        <w:rPr>
          <w:rFonts w:ascii="Times New Roman" w:hAnsi="Times New Roman" w:cs="Times New Roman"/>
        </w:rPr>
        <w:t>e</w:t>
      </w:r>
      <w:r w:rsidR="00D9194F">
        <w:rPr>
          <w:rFonts w:ascii="Times New Roman" w:hAnsi="Times New Roman" w:cs="Times New Roman"/>
        </w:rPr>
        <w:t xml:space="preserve"> the interaction between lime and boron for</w:t>
      </w:r>
      <w:r w:rsidR="00A9705C">
        <w:rPr>
          <w:rFonts w:ascii="Times New Roman" w:hAnsi="Times New Roman" w:cs="Times New Roman"/>
        </w:rPr>
        <w:t xml:space="preserve"> </w:t>
      </w:r>
      <w:r w:rsidR="00D9194F">
        <w:rPr>
          <w:rFonts w:ascii="Times New Roman" w:hAnsi="Times New Roman" w:cs="Times New Roman"/>
        </w:rPr>
        <w:t>management of clubroot</w:t>
      </w:r>
      <w:r w:rsidR="00A9705C">
        <w:rPr>
          <w:rFonts w:ascii="Times New Roman" w:hAnsi="Times New Roman" w:cs="Times New Roman"/>
        </w:rPr>
        <w:t xml:space="preserve"> in a growth room set at </w:t>
      </w:r>
      <w:r w:rsidR="00A9705C" w:rsidRPr="00A9705C">
        <w:rPr>
          <w:rFonts w:ascii="Times New Roman" w:hAnsi="Times New Roman" w:cs="Times New Roman"/>
        </w:rPr>
        <w:t>set to 24°/21°C day night cycle, a 17-hour photoperiod and 50% humidity</w:t>
      </w:r>
      <w:r w:rsidR="00D9194F">
        <w:rPr>
          <w:rFonts w:ascii="Times New Roman" w:hAnsi="Times New Roman" w:cs="Times New Roman"/>
        </w:rPr>
        <w:t>.</w:t>
      </w:r>
      <w:r w:rsidR="007C5626">
        <w:rPr>
          <w:rFonts w:ascii="Times New Roman" w:hAnsi="Times New Roman" w:cs="Times New Roman"/>
        </w:rPr>
        <w:t xml:space="preserve"> </w:t>
      </w:r>
      <w:r w:rsidR="00A074F2">
        <w:rPr>
          <w:rFonts w:ascii="Times New Roman" w:hAnsi="Times New Roman" w:cs="Times New Roman"/>
        </w:rPr>
        <w:t xml:space="preserve">Two runs of the study were conducted. </w:t>
      </w:r>
      <w:r w:rsidR="007C5626">
        <w:rPr>
          <w:rFonts w:ascii="Times New Roman" w:hAnsi="Times New Roman" w:cs="Times New Roman"/>
        </w:rPr>
        <w:t>The trial</w:t>
      </w:r>
      <w:r w:rsidR="00A074F2">
        <w:rPr>
          <w:rFonts w:ascii="Times New Roman" w:hAnsi="Times New Roman" w:cs="Times New Roman"/>
        </w:rPr>
        <w:t>s</w:t>
      </w:r>
      <w:r w:rsidR="007C5626">
        <w:rPr>
          <w:rFonts w:ascii="Times New Roman" w:hAnsi="Times New Roman" w:cs="Times New Roman"/>
        </w:rPr>
        <w:t xml:space="preserve"> w</w:t>
      </w:r>
      <w:r w:rsidR="00A074F2">
        <w:rPr>
          <w:rFonts w:ascii="Times New Roman" w:hAnsi="Times New Roman" w:cs="Times New Roman"/>
        </w:rPr>
        <w:t>ere</w:t>
      </w:r>
      <w:r w:rsidR="007C5626">
        <w:rPr>
          <w:rFonts w:ascii="Times New Roman" w:hAnsi="Times New Roman" w:cs="Times New Roman"/>
        </w:rPr>
        <w:t xml:space="preserve"> conducted as a three-way factorial</w:t>
      </w:r>
      <w:r w:rsidR="00A9705C">
        <w:rPr>
          <w:rFonts w:ascii="Times New Roman" w:hAnsi="Times New Roman" w:cs="Times New Roman"/>
        </w:rPr>
        <w:t xml:space="preserve"> study in</w:t>
      </w:r>
      <w:r w:rsidR="007C5626">
        <w:rPr>
          <w:rFonts w:ascii="Times New Roman" w:hAnsi="Times New Roman" w:cs="Times New Roman"/>
        </w:rPr>
        <w:t xml:space="preserve"> </w:t>
      </w:r>
      <w:r w:rsidR="00E075AA">
        <w:rPr>
          <w:rFonts w:ascii="Times New Roman" w:hAnsi="Times New Roman" w:cs="Times New Roman"/>
        </w:rPr>
        <w:t>a</w:t>
      </w:r>
      <w:r w:rsidR="007C5626">
        <w:rPr>
          <w:rFonts w:ascii="Times New Roman" w:hAnsi="Times New Roman" w:cs="Times New Roman"/>
        </w:rPr>
        <w:t xml:space="preserve"> </w:t>
      </w:r>
      <w:r w:rsidR="00F2362D">
        <w:rPr>
          <w:rFonts w:ascii="Times New Roman" w:hAnsi="Times New Roman" w:cs="Times New Roman"/>
        </w:rPr>
        <w:t>replicated complete block design</w:t>
      </w:r>
      <w:r w:rsidR="007C5626">
        <w:rPr>
          <w:rFonts w:ascii="Times New Roman" w:hAnsi="Times New Roman" w:cs="Times New Roman"/>
        </w:rPr>
        <w:t xml:space="preserve"> with four replicates and 10 plants per experimental unit.</w:t>
      </w:r>
      <w:r w:rsidR="00A9705C">
        <w:rPr>
          <w:rFonts w:ascii="Times New Roman" w:hAnsi="Times New Roman" w:cs="Times New Roman"/>
        </w:rPr>
        <w:t xml:space="preserve"> The factors were boron x lime x inoculation. The treatments were</w:t>
      </w:r>
      <w:r w:rsidR="00A074F2">
        <w:rPr>
          <w:rFonts w:ascii="Times New Roman" w:hAnsi="Times New Roman" w:cs="Times New Roman"/>
        </w:rPr>
        <w:t xml:space="preserve"> as</w:t>
      </w:r>
      <w:r w:rsidR="00A9705C">
        <w:rPr>
          <w:rFonts w:ascii="Times New Roman" w:hAnsi="Times New Roman" w:cs="Times New Roman"/>
        </w:rPr>
        <w:t xml:space="preserve"> follows:</w:t>
      </w:r>
      <w:r w:rsidR="007C5626">
        <w:rPr>
          <w:rFonts w:ascii="Times New Roman" w:hAnsi="Times New Roman" w:cs="Times New Roman"/>
        </w:rPr>
        <w:t xml:space="preserve"> </w:t>
      </w:r>
      <w:r w:rsidR="00A9705C">
        <w:rPr>
          <w:rFonts w:ascii="Times New Roman" w:hAnsi="Times New Roman" w:cs="Times New Roman"/>
        </w:rPr>
        <w:t>b</w:t>
      </w:r>
      <w:r w:rsidR="007C5626">
        <w:rPr>
          <w:rFonts w:ascii="Times New Roman" w:hAnsi="Times New Roman" w:cs="Times New Roman"/>
        </w:rPr>
        <w:t>oron</w:t>
      </w:r>
      <w:r w:rsidR="00A9705C">
        <w:rPr>
          <w:rFonts w:ascii="Times New Roman" w:hAnsi="Times New Roman" w:cs="Times New Roman"/>
        </w:rPr>
        <w:t xml:space="preserve"> (B)</w:t>
      </w:r>
      <w:r w:rsidR="007C5626">
        <w:rPr>
          <w:rFonts w:ascii="Times New Roman" w:hAnsi="Times New Roman" w:cs="Times New Roman"/>
        </w:rPr>
        <w:t xml:space="preserve"> applied at a rate of </w:t>
      </w:r>
      <w:r w:rsidR="00A9705C">
        <w:rPr>
          <w:rFonts w:ascii="Times New Roman" w:hAnsi="Times New Roman" w:cs="Times New Roman"/>
        </w:rPr>
        <w:t xml:space="preserve">0 or </w:t>
      </w:r>
      <w:r w:rsidR="007C5626">
        <w:rPr>
          <w:rFonts w:ascii="Times New Roman" w:hAnsi="Times New Roman" w:cs="Times New Roman"/>
        </w:rPr>
        <w:t>4 kg B/ha as S</w:t>
      </w:r>
      <w:r w:rsidR="00FA5C09">
        <w:rPr>
          <w:rFonts w:ascii="Times New Roman" w:hAnsi="Times New Roman" w:cs="Times New Roman"/>
        </w:rPr>
        <w:t>OLUBOR</w:t>
      </w:r>
      <w:r w:rsidR="00A074F2">
        <w:rPr>
          <w:rFonts w:ascii="Times New Roman" w:hAnsi="Times New Roman" w:cs="Times New Roman"/>
        </w:rPr>
        <w:t xml:space="preserve"> in run 1 and 0 and 12 kg B/ha as SOLUBOR in run 2</w:t>
      </w:r>
      <w:r w:rsidR="00A9705C">
        <w:rPr>
          <w:rFonts w:ascii="Times New Roman" w:hAnsi="Times New Roman" w:cs="Times New Roman"/>
        </w:rPr>
        <w:t>;</w:t>
      </w:r>
      <w:r w:rsidR="00FA5C09">
        <w:rPr>
          <w:rFonts w:ascii="Times New Roman" w:hAnsi="Times New Roman" w:cs="Times New Roman"/>
        </w:rPr>
        <w:t xml:space="preserve"> HYDATED LIME applied to achieve the targets of </w:t>
      </w:r>
      <w:r w:rsidR="00A9705C">
        <w:rPr>
          <w:rFonts w:ascii="Times New Roman" w:hAnsi="Times New Roman" w:cs="Times New Roman"/>
        </w:rPr>
        <w:t xml:space="preserve">pH </w:t>
      </w:r>
      <w:r w:rsidR="00FA5C09">
        <w:rPr>
          <w:rFonts w:ascii="Times New Roman" w:hAnsi="Times New Roman" w:cs="Times New Roman"/>
        </w:rPr>
        <w:t xml:space="preserve">7.0 and </w:t>
      </w:r>
      <w:r w:rsidR="00A9705C">
        <w:rPr>
          <w:rFonts w:ascii="Times New Roman" w:hAnsi="Times New Roman" w:cs="Times New Roman"/>
        </w:rPr>
        <w:t xml:space="preserve">pH </w:t>
      </w:r>
      <w:r w:rsidR="00FA5C09">
        <w:rPr>
          <w:rFonts w:ascii="Times New Roman" w:hAnsi="Times New Roman" w:cs="Times New Roman"/>
        </w:rPr>
        <w:t>7.5</w:t>
      </w:r>
      <w:r w:rsidR="00A9705C">
        <w:rPr>
          <w:rFonts w:ascii="Times New Roman" w:hAnsi="Times New Roman" w:cs="Times New Roman"/>
        </w:rPr>
        <w:t xml:space="preserve"> plus a control at </w:t>
      </w:r>
      <w:r w:rsidR="00E86F05">
        <w:rPr>
          <w:rFonts w:ascii="Times New Roman" w:hAnsi="Times New Roman" w:cs="Times New Roman"/>
        </w:rPr>
        <w:t xml:space="preserve">pH </w:t>
      </w:r>
      <w:r w:rsidR="00A9705C">
        <w:rPr>
          <w:rFonts w:ascii="Times New Roman" w:hAnsi="Times New Roman" w:cs="Times New Roman"/>
        </w:rPr>
        <w:t>6.4 and</w:t>
      </w:r>
      <w:r w:rsidR="00FA5C09">
        <w:rPr>
          <w:rFonts w:ascii="Times New Roman" w:hAnsi="Times New Roman" w:cs="Times New Roman"/>
        </w:rPr>
        <w:t xml:space="preserve"> inoculated with resting spores of </w:t>
      </w:r>
      <w:r w:rsidR="00A9705C">
        <w:rPr>
          <w:rFonts w:ascii="Times New Roman" w:hAnsi="Times New Roman" w:cs="Times New Roman"/>
          <w:i/>
          <w:iCs/>
        </w:rPr>
        <w:t>P.</w:t>
      </w:r>
      <w:r w:rsidR="00E86F05">
        <w:rPr>
          <w:rFonts w:ascii="Times New Roman" w:hAnsi="Times New Roman" w:cs="Times New Roman"/>
          <w:i/>
          <w:iCs/>
        </w:rPr>
        <w:t> </w:t>
      </w:r>
      <w:r w:rsidR="00A9705C" w:rsidRPr="00E86F05">
        <w:rPr>
          <w:rFonts w:ascii="Times New Roman" w:hAnsi="Times New Roman" w:cs="Times New Roman"/>
          <w:i/>
          <w:iCs/>
        </w:rPr>
        <w:t>brassicae</w:t>
      </w:r>
      <w:r w:rsidR="00A9705C">
        <w:rPr>
          <w:rFonts w:ascii="Times New Roman" w:hAnsi="Times New Roman" w:cs="Times New Roman"/>
        </w:rPr>
        <w:t xml:space="preserve"> </w:t>
      </w:r>
      <w:r w:rsidR="00FA5C09" w:rsidRPr="00A9705C">
        <w:rPr>
          <w:rFonts w:ascii="Times New Roman" w:hAnsi="Times New Roman" w:cs="Times New Roman"/>
        </w:rPr>
        <w:t>pathotype</w:t>
      </w:r>
      <w:r w:rsidR="00FA5C09">
        <w:rPr>
          <w:rFonts w:ascii="Times New Roman" w:hAnsi="Times New Roman" w:cs="Times New Roman"/>
        </w:rPr>
        <w:t xml:space="preserve"> 2</w:t>
      </w:r>
      <w:r w:rsidR="00A9705C">
        <w:rPr>
          <w:rFonts w:ascii="Times New Roman" w:hAnsi="Times New Roman" w:cs="Times New Roman"/>
        </w:rPr>
        <w:t xml:space="preserve"> vs. non-inoculated control</w:t>
      </w:r>
      <w:r w:rsidR="00FA5C09">
        <w:rPr>
          <w:rFonts w:ascii="Times New Roman" w:hAnsi="Times New Roman" w:cs="Times New Roman"/>
        </w:rPr>
        <w:t xml:space="preserve">. </w:t>
      </w:r>
    </w:p>
    <w:p w14:paraId="0B61D8C1" w14:textId="137E98A0" w:rsidR="005A5404" w:rsidRDefault="003739AE" w:rsidP="00F441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ensure that the pH of the soil was a stable and uniform as possible prior </w:t>
      </w:r>
      <w:r w:rsidR="004C6A8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start of the study, all of the LA4 Sunshine Mix (Sungro; pH 5.6</w:t>
      </w:r>
      <w:r w:rsidR="006E5EA3">
        <w:rPr>
          <w:rFonts w:ascii="Times New Roman" w:hAnsi="Times New Roman" w:cs="Times New Roman"/>
        </w:rPr>
        <w:t xml:space="preserve"> in Run 1 and pH 5.3 in Run 2</w:t>
      </w:r>
      <w:r>
        <w:rPr>
          <w:rFonts w:ascii="Times New Roman" w:hAnsi="Times New Roman" w:cs="Times New Roman"/>
        </w:rPr>
        <w:t>) require</w:t>
      </w:r>
      <w:r w:rsidR="004C6A8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for each individual treatment was placed in a plastic bin, and a weighed amount of HYDRATED LIME was applied to reach the target pH</w:t>
      </w:r>
      <w:r w:rsidR="00A074F2">
        <w:rPr>
          <w:rFonts w:ascii="Times New Roman" w:hAnsi="Times New Roman" w:cs="Times New Roman"/>
        </w:rPr>
        <w:t xml:space="preserve"> of 7.0 and 7.5</w:t>
      </w:r>
      <w:r w:rsidR="004C6A8F">
        <w:rPr>
          <w:rFonts w:ascii="Times New Roman" w:hAnsi="Times New Roman" w:cs="Times New Roman"/>
        </w:rPr>
        <w:t xml:space="preserve"> </w:t>
      </w:r>
      <w:r w:rsidR="006E5EA3">
        <w:rPr>
          <w:rFonts w:ascii="Times New Roman" w:hAnsi="Times New Roman" w:cs="Times New Roman"/>
        </w:rPr>
        <w:t xml:space="preserve">(Run 1: </w:t>
      </w:r>
      <w:r>
        <w:rPr>
          <w:rFonts w:ascii="Times New Roman" w:hAnsi="Times New Roman" w:cs="Times New Roman"/>
        </w:rPr>
        <w:t>pH</w:t>
      </w:r>
      <w:r w:rsidR="00D73EB9">
        <w:rPr>
          <w:rFonts w:ascii="Times New Roman" w:hAnsi="Times New Roman" w:cs="Times New Roman"/>
        </w:rPr>
        <w:t xml:space="preserve"> 7.0 </w:t>
      </w:r>
      <w:r>
        <w:rPr>
          <w:rFonts w:ascii="Times New Roman" w:hAnsi="Times New Roman" w:cs="Times New Roman"/>
        </w:rPr>
        <w:t xml:space="preserve">- </w:t>
      </w:r>
      <w:r w:rsidR="00D73EB9" w:rsidRPr="00D73EB9">
        <w:rPr>
          <w:rFonts w:ascii="Times New Roman" w:hAnsi="Times New Roman" w:cs="Times New Roman"/>
        </w:rPr>
        <w:t>0.84 t/ha = 27.7 g/</w:t>
      </w:r>
      <w:r w:rsidR="00F03B19">
        <w:rPr>
          <w:rFonts w:ascii="Times New Roman" w:hAnsi="Times New Roman" w:cs="Times New Roman"/>
        </w:rPr>
        <w:t>bin</w:t>
      </w:r>
      <w:r w:rsidR="00D73EB9" w:rsidRPr="00D73EB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pH </w:t>
      </w:r>
      <w:r w:rsidR="00D73EB9" w:rsidRPr="00D73EB9">
        <w:rPr>
          <w:rFonts w:ascii="Times New Roman" w:hAnsi="Times New Roman" w:cs="Times New Roman"/>
        </w:rPr>
        <w:t xml:space="preserve">7.5 </w:t>
      </w:r>
      <w:r>
        <w:rPr>
          <w:rFonts w:ascii="Times New Roman" w:hAnsi="Times New Roman" w:cs="Times New Roman"/>
        </w:rPr>
        <w:t xml:space="preserve">- </w:t>
      </w:r>
      <w:r w:rsidR="00D73EB9" w:rsidRPr="00D73EB9">
        <w:rPr>
          <w:rFonts w:ascii="Times New Roman" w:hAnsi="Times New Roman" w:cs="Times New Roman"/>
        </w:rPr>
        <w:t>1.14 t/ha = 37.6 g/</w:t>
      </w:r>
      <w:r w:rsidR="00F03B19">
        <w:rPr>
          <w:rFonts w:ascii="Times New Roman" w:hAnsi="Times New Roman" w:cs="Times New Roman"/>
        </w:rPr>
        <w:t>bin</w:t>
      </w:r>
      <w:r w:rsidR="006E5EA3">
        <w:rPr>
          <w:rFonts w:ascii="Times New Roman" w:hAnsi="Times New Roman" w:cs="Times New Roman"/>
        </w:rPr>
        <w:t>; Run 2: pH 7.0 – 1.15 t/ha = 37.6 g/bin and pH 7.5 – 1.3 t/ha = 43.51 g/bin)</w:t>
      </w:r>
      <w:r w:rsidR="00FA5C09">
        <w:rPr>
          <w:rFonts w:ascii="Times New Roman" w:hAnsi="Times New Roman" w:cs="Times New Roman"/>
        </w:rPr>
        <w:t>.</w:t>
      </w:r>
      <w:r w:rsidR="00D73EB9">
        <w:rPr>
          <w:rFonts w:ascii="Times New Roman" w:hAnsi="Times New Roman" w:cs="Times New Roman"/>
        </w:rPr>
        <w:t xml:space="preserve"> </w:t>
      </w:r>
      <w:r w:rsidR="004C6A8F">
        <w:rPr>
          <w:rFonts w:ascii="Times New Roman" w:hAnsi="Times New Roman" w:cs="Times New Roman"/>
        </w:rPr>
        <w:t xml:space="preserve">No lime was added for the pH 6.4 control. </w:t>
      </w:r>
      <w:r w:rsidR="00F03B19">
        <w:rPr>
          <w:rFonts w:ascii="Times New Roman" w:hAnsi="Times New Roman" w:cs="Times New Roman"/>
        </w:rPr>
        <w:t>T</w:t>
      </w:r>
      <w:r w:rsidR="00D73EB9" w:rsidRPr="00D73EB9">
        <w:rPr>
          <w:rFonts w:ascii="Times New Roman" w:hAnsi="Times New Roman" w:cs="Times New Roman"/>
        </w:rPr>
        <w:t xml:space="preserve">he </w:t>
      </w:r>
      <w:r w:rsidR="00F2362D">
        <w:rPr>
          <w:rFonts w:ascii="Times New Roman" w:hAnsi="Times New Roman" w:cs="Times New Roman"/>
        </w:rPr>
        <w:t xml:space="preserve">lime </w:t>
      </w:r>
      <w:r w:rsidR="00D73EB9" w:rsidRPr="00D73EB9">
        <w:rPr>
          <w:rFonts w:ascii="Times New Roman" w:hAnsi="Times New Roman" w:cs="Times New Roman"/>
        </w:rPr>
        <w:t xml:space="preserve">was </w:t>
      </w:r>
      <w:r w:rsidR="00F2362D">
        <w:rPr>
          <w:rFonts w:ascii="Times New Roman" w:hAnsi="Times New Roman" w:cs="Times New Roman"/>
        </w:rPr>
        <w:t>thoroughly incorporated</w:t>
      </w:r>
      <w:r w:rsidR="00D73EB9" w:rsidRPr="00D73EB9">
        <w:rPr>
          <w:rFonts w:ascii="Times New Roman" w:hAnsi="Times New Roman" w:cs="Times New Roman"/>
        </w:rPr>
        <w:t xml:space="preserve"> into the soilless mix</w:t>
      </w:r>
      <w:r w:rsidR="00F03B19">
        <w:rPr>
          <w:rFonts w:ascii="Times New Roman" w:hAnsi="Times New Roman" w:cs="Times New Roman"/>
        </w:rPr>
        <w:t xml:space="preserve"> and </w:t>
      </w:r>
      <w:r w:rsidR="00D73EB9" w:rsidRPr="00D73EB9">
        <w:rPr>
          <w:rFonts w:ascii="Times New Roman" w:hAnsi="Times New Roman" w:cs="Times New Roman"/>
        </w:rPr>
        <w:t xml:space="preserve">4 L of deionized water was </w:t>
      </w:r>
      <w:r w:rsidR="00F03B19">
        <w:rPr>
          <w:rFonts w:ascii="Times New Roman" w:hAnsi="Times New Roman" w:cs="Times New Roman"/>
        </w:rPr>
        <w:t xml:space="preserve">incorporated </w:t>
      </w:r>
      <w:r w:rsidR="00D73EB9" w:rsidRPr="00D73EB9">
        <w:rPr>
          <w:rFonts w:ascii="Times New Roman" w:hAnsi="Times New Roman" w:cs="Times New Roman"/>
        </w:rPr>
        <w:t>into the soil. After one week, the pH of the soil was tested to ensure</w:t>
      </w:r>
      <w:r w:rsidR="00997178">
        <w:rPr>
          <w:rFonts w:ascii="Times New Roman" w:hAnsi="Times New Roman" w:cs="Times New Roman"/>
        </w:rPr>
        <w:t xml:space="preserve"> each</w:t>
      </w:r>
      <w:r w:rsidR="00D73EB9" w:rsidRPr="00D73EB9">
        <w:rPr>
          <w:rFonts w:ascii="Times New Roman" w:hAnsi="Times New Roman" w:cs="Times New Roman"/>
        </w:rPr>
        <w:t xml:space="preserve"> target</w:t>
      </w:r>
      <w:r w:rsidR="00997178">
        <w:rPr>
          <w:rFonts w:ascii="Times New Roman" w:hAnsi="Times New Roman" w:cs="Times New Roman"/>
        </w:rPr>
        <w:t xml:space="preserve"> pH levels had been achieved</w:t>
      </w:r>
      <w:r w:rsidR="00D73EB9" w:rsidRPr="00D73EB9">
        <w:rPr>
          <w:rFonts w:ascii="Times New Roman" w:hAnsi="Times New Roman" w:cs="Times New Roman"/>
        </w:rPr>
        <w:t xml:space="preserve">. </w:t>
      </w:r>
      <w:r w:rsidR="00997178">
        <w:rPr>
          <w:rFonts w:ascii="Times New Roman" w:hAnsi="Times New Roman" w:cs="Times New Roman"/>
        </w:rPr>
        <w:t xml:space="preserve">The mix </w:t>
      </w:r>
      <w:r w:rsidR="00D73EB9" w:rsidRPr="00D73EB9">
        <w:rPr>
          <w:rFonts w:ascii="Times New Roman" w:hAnsi="Times New Roman" w:cs="Times New Roman"/>
        </w:rPr>
        <w:t>was then</w:t>
      </w:r>
      <w:r w:rsidR="00997178">
        <w:rPr>
          <w:rFonts w:ascii="Times New Roman" w:hAnsi="Times New Roman" w:cs="Times New Roman"/>
        </w:rPr>
        <w:t xml:space="preserve"> place</w:t>
      </w:r>
      <w:r w:rsidR="005628A4">
        <w:rPr>
          <w:rFonts w:ascii="Times New Roman" w:hAnsi="Times New Roman" w:cs="Times New Roman"/>
        </w:rPr>
        <w:t>d</w:t>
      </w:r>
      <w:r w:rsidR="00997178">
        <w:rPr>
          <w:rFonts w:ascii="Times New Roman" w:hAnsi="Times New Roman" w:cs="Times New Roman"/>
        </w:rPr>
        <w:t xml:space="preserve"> into tall, narrow plastic pots </w:t>
      </w:r>
      <w:bookmarkStart w:id="0" w:name="_Hlk117542097"/>
      <w:r w:rsidR="00997178">
        <w:rPr>
          <w:rFonts w:ascii="Times New Roman" w:hAnsi="Times New Roman" w:cs="Times New Roman"/>
        </w:rPr>
        <w:t>(conetainer, Steuve &amp; Sons, OR) and compressed firmly to provide a soil density conducive for clubroot</w:t>
      </w:r>
      <w:r w:rsidR="00D73EB9" w:rsidRPr="00D73EB9">
        <w:rPr>
          <w:rFonts w:ascii="Times New Roman" w:hAnsi="Times New Roman" w:cs="Times New Roman"/>
        </w:rPr>
        <w:t>.</w:t>
      </w:r>
      <w:r w:rsidR="00D73EB9">
        <w:rPr>
          <w:rFonts w:ascii="Times New Roman" w:hAnsi="Times New Roman" w:cs="Times New Roman"/>
        </w:rPr>
        <w:t xml:space="preserve"> </w:t>
      </w:r>
      <w:bookmarkEnd w:id="0"/>
      <w:r w:rsidR="00D73EB9" w:rsidRPr="00D73EB9">
        <w:rPr>
          <w:rFonts w:ascii="Times New Roman" w:hAnsi="Times New Roman" w:cs="Times New Roman"/>
        </w:rPr>
        <w:t>Boron was applied as a solution of S</w:t>
      </w:r>
      <w:r w:rsidR="00D73EB9">
        <w:rPr>
          <w:rFonts w:ascii="Times New Roman" w:hAnsi="Times New Roman" w:cs="Times New Roman"/>
        </w:rPr>
        <w:t>OLUBOR</w:t>
      </w:r>
      <w:r w:rsidR="00D73EB9" w:rsidRPr="00D73EB9">
        <w:rPr>
          <w:rFonts w:ascii="Times New Roman" w:hAnsi="Times New Roman" w:cs="Times New Roman"/>
        </w:rPr>
        <w:t xml:space="preserve"> (10 mL of solution with 0.25 g</w:t>
      </w:r>
      <w:r w:rsidR="00997178">
        <w:rPr>
          <w:rFonts w:ascii="Times New Roman" w:hAnsi="Times New Roman" w:cs="Times New Roman"/>
        </w:rPr>
        <w:t xml:space="preserve"> SOLUBOR</w:t>
      </w:r>
      <w:r w:rsidR="00D73EB9" w:rsidRPr="00D73EB9">
        <w:rPr>
          <w:rFonts w:ascii="Times New Roman" w:hAnsi="Times New Roman" w:cs="Times New Roman"/>
        </w:rPr>
        <w:t>/L = 4 kg B/ha</w:t>
      </w:r>
      <w:r w:rsidR="006E5EA3">
        <w:rPr>
          <w:rFonts w:ascii="Times New Roman" w:hAnsi="Times New Roman" w:cs="Times New Roman"/>
        </w:rPr>
        <w:t xml:space="preserve"> in Run 1 and 5 mL of solution with 1.5 g SOLUBOR/L = 12 kg/ha in Run 2</w:t>
      </w:r>
      <w:r w:rsidR="00D73EB9" w:rsidRPr="00D73EB9">
        <w:rPr>
          <w:rFonts w:ascii="Times New Roman" w:hAnsi="Times New Roman" w:cs="Times New Roman"/>
        </w:rPr>
        <w:t xml:space="preserve">) to the soil of each </w:t>
      </w:r>
      <w:r w:rsidR="00997178">
        <w:rPr>
          <w:rFonts w:ascii="Times New Roman" w:hAnsi="Times New Roman" w:cs="Times New Roman"/>
        </w:rPr>
        <w:t>pot</w:t>
      </w:r>
      <w:r w:rsidR="00D73EB9" w:rsidRPr="00D73EB9">
        <w:rPr>
          <w:rFonts w:ascii="Times New Roman" w:hAnsi="Times New Roman" w:cs="Times New Roman"/>
        </w:rPr>
        <w:t xml:space="preserve">, one day before seeding </w:t>
      </w:r>
      <w:r w:rsidR="00F2362D">
        <w:rPr>
          <w:rFonts w:ascii="Times New Roman" w:hAnsi="Times New Roman" w:cs="Times New Roman"/>
        </w:rPr>
        <w:t>with</w:t>
      </w:r>
      <w:r w:rsidR="00D73EB9" w:rsidRPr="00D73EB9">
        <w:rPr>
          <w:rFonts w:ascii="Times New Roman" w:hAnsi="Times New Roman" w:cs="Times New Roman"/>
        </w:rPr>
        <w:t xml:space="preserve"> canola cv. L233P </w:t>
      </w:r>
      <w:r w:rsidR="00997178">
        <w:rPr>
          <w:rFonts w:ascii="Times New Roman" w:hAnsi="Times New Roman" w:cs="Times New Roman"/>
        </w:rPr>
        <w:t xml:space="preserve">from </w:t>
      </w:r>
      <w:r w:rsidR="00D73EB9" w:rsidRPr="00D73EB9">
        <w:rPr>
          <w:rFonts w:ascii="Times New Roman" w:hAnsi="Times New Roman" w:cs="Times New Roman"/>
        </w:rPr>
        <w:t>BASF</w:t>
      </w:r>
      <w:r w:rsidR="00997178">
        <w:rPr>
          <w:rFonts w:ascii="Times New Roman" w:hAnsi="Times New Roman" w:cs="Times New Roman"/>
        </w:rPr>
        <w:t xml:space="preserve"> (two seeds)</w:t>
      </w:r>
      <w:r w:rsidR="00D73EB9" w:rsidRPr="00D73EB9">
        <w:rPr>
          <w:rFonts w:ascii="Times New Roman" w:hAnsi="Times New Roman" w:cs="Times New Roman"/>
        </w:rPr>
        <w:t>.</w:t>
      </w:r>
      <w:r w:rsidR="00D73EB9">
        <w:rPr>
          <w:rFonts w:ascii="Times New Roman" w:hAnsi="Times New Roman" w:cs="Times New Roman"/>
        </w:rPr>
        <w:t xml:space="preserve"> </w:t>
      </w:r>
      <w:r w:rsidR="00D73EB9" w:rsidRPr="00D73EB9">
        <w:rPr>
          <w:rFonts w:ascii="Times New Roman" w:hAnsi="Times New Roman" w:cs="Times New Roman"/>
        </w:rPr>
        <w:t>Three days after germination, the seedlings were thinned to one seedling per pot.</w:t>
      </w:r>
      <w:r w:rsidR="00D73EB9">
        <w:rPr>
          <w:rFonts w:ascii="Times New Roman" w:hAnsi="Times New Roman" w:cs="Times New Roman"/>
        </w:rPr>
        <w:t xml:space="preserve"> </w:t>
      </w:r>
      <w:bookmarkStart w:id="1" w:name="_Hlk117542216"/>
      <w:r w:rsidR="00997178">
        <w:rPr>
          <w:rFonts w:ascii="Times New Roman" w:hAnsi="Times New Roman" w:cs="Times New Roman"/>
        </w:rPr>
        <w:t>Inoculum was extracted from clubbed canola root</w:t>
      </w:r>
      <w:r w:rsidR="004C6A8F">
        <w:rPr>
          <w:rFonts w:ascii="Times New Roman" w:hAnsi="Times New Roman" w:cs="Times New Roman"/>
        </w:rPr>
        <w:t>s</w:t>
      </w:r>
      <w:r w:rsidR="00997178">
        <w:rPr>
          <w:rFonts w:ascii="Times New Roman" w:hAnsi="Times New Roman" w:cs="Times New Roman"/>
        </w:rPr>
        <w:t xml:space="preserve"> collected from the Ontario Crops Research Centre-Bradford in 2018 using standard procedures</w:t>
      </w:r>
      <w:bookmarkEnd w:id="1"/>
      <w:r w:rsidR="00997178">
        <w:rPr>
          <w:rFonts w:ascii="Times New Roman" w:hAnsi="Times New Roman" w:cs="Times New Roman"/>
        </w:rPr>
        <w:t xml:space="preserve">. </w:t>
      </w:r>
      <w:r w:rsidR="00F441EE">
        <w:rPr>
          <w:rFonts w:ascii="Times New Roman" w:hAnsi="Times New Roman" w:cs="Times New Roman"/>
        </w:rPr>
        <w:t xml:space="preserve">Seven and twelve days after </w:t>
      </w:r>
      <w:r w:rsidR="00B26331">
        <w:rPr>
          <w:rFonts w:ascii="Times New Roman" w:hAnsi="Times New Roman" w:cs="Times New Roman"/>
        </w:rPr>
        <w:t>seeding</w:t>
      </w:r>
      <w:r w:rsidR="00F441EE">
        <w:rPr>
          <w:rFonts w:ascii="Times New Roman" w:hAnsi="Times New Roman" w:cs="Times New Roman"/>
        </w:rPr>
        <w:t xml:space="preserve">, </w:t>
      </w:r>
      <w:r w:rsidR="00997178">
        <w:rPr>
          <w:rFonts w:ascii="Times New Roman" w:hAnsi="Times New Roman" w:cs="Times New Roman"/>
        </w:rPr>
        <w:t xml:space="preserve">each </w:t>
      </w:r>
      <w:r w:rsidR="00F441EE">
        <w:rPr>
          <w:rFonts w:ascii="Times New Roman" w:hAnsi="Times New Roman" w:cs="Times New Roman"/>
        </w:rPr>
        <w:t>plant w</w:t>
      </w:r>
      <w:r w:rsidR="00997178">
        <w:rPr>
          <w:rFonts w:ascii="Times New Roman" w:hAnsi="Times New Roman" w:cs="Times New Roman"/>
        </w:rPr>
        <w:t>as</w:t>
      </w:r>
      <w:r w:rsidR="00F441EE">
        <w:rPr>
          <w:rFonts w:ascii="Times New Roman" w:hAnsi="Times New Roman" w:cs="Times New Roman"/>
        </w:rPr>
        <w:t xml:space="preserve"> inoculated with </w:t>
      </w:r>
      <w:r w:rsidR="003D7BEF">
        <w:rPr>
          <w:rFonts w:ascii="Times New Roman" w:hAnsi="Times New Roman" w:cs="Times New Roman"/>
        </w:rPr>
        <w:t>5 ml of 1x10</w:t>
      </w:r>
      <w:r w:rsidR="003D7BEF">
        <w:rPr>
          <w:rFonts w:ascii="Times New Roman" w:hAnsi="Times New Roman" w:cs="Times New Roman"/>
          <w:vertAlign w:val="superscript"/>
        </w:rPr>
        <w:t>6</w:t>
      </w:r>
      <w:r w:rsidR="003D7BEF">
        <w:rPr>
          <w:rFonts w:ascii="Times New Roman" w:hAnsi="Times New Roman" w:cs="Times New Roman"/>
        </w:rPr>
        <w:t xml:space="preserve"> resting spores/mL.</w:t>
      </w:r>
      <w:r w:rsidR="007D7B8A">
        <w:rPr>
          <w:rFonts w:ascii="Times New Roman" w:hAnsi="Times New Roman" w:cs="Times New Roman"/>
        </w:rPr>
        <w:t xml:space="preserve"> </w:t>
      </w:r>
      <w:r w:rsidR="007D7B8A" w:rsidRPr="007D7B8A">
        <w:rPr>
          <w:rFonts w:ascii="Times New Roman" w:hAnsi="Times New Roman" w:cs="Times New Roman"/>
        </w:rPr>
        <w:t>Plants were top watered with water adjusted to pH 6.4, 7.0 and 7.5 with pH lowered with commercial vinegar or raised with sodium hydroxide.</w:t>
      </w:r>
      <w:r w:rsidR="007D7B8A">
        <w:rPr>
          <w:rFonts w:ascii="Times New Roman" w:hAnsi="Times New Roman" w:cs="Times New Roman"/>
        </w:rPr>
        <w:t xml:space="preserve"> Plants were fertilizer twice a week with a 0.1% solution of 20-20-20 and magnesium sulfate. </w:t>
      </w:r>
    </w:p>
    <w:p w14:paraId="38530A57" w14:textId="55AF0006" w:rsidR="007D7B8A" w:rsidRPr="00A46307" w:rsidRDefault="007D7B8A" w:rsidP="007D7B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Roots were assessed for clubroot sy</w:t>
      </w:r>
      <w:r w:rsidR="00997178">
        <w:rPr>
          <w:rFonts w:ascii="Times New Roman" w:hAnsi="Times New Roman" w:cs="Times New Roman"/>
        </w:rPr>
        <w:t>mptoms</w:t>
      </w:r>
      <w:r>
        <w:rPr>
          <w:rFonts w:ascii="Times New Roman" w:hAnsi="Times New Roman" w:cs="Times New Roman"/>
        </w:rPr>
        <w:t xml:space="preserve"> at </w:t>
      </w:r>
      <w:r w:rsidR="009971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weeks after inoculation using a 0</w:t>
      </w:r>
      <w:r w:rsidR="00997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97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scale</w:t>
      </w:r>
      <w:r w:rsidR="009971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where </w:t>
      </w:r>
      <w:r w:rsidRPr="00A46307">
        <w:rPr>
          <w:rFonts w:ascii="Times New Roman" w:hAnsi="Times New Roman" w:cs="Times New Roman"/>
        </w:rPr>
        <w:t xml:space="preserve">0 = no clubbing, 1 = clubs on 1/3 of the root, 2 = clubs on 1/3 to 2/3 of the root and 3 = clubs on more than 2/3 of the root. </w:t>
      </w:r>
      <w:r w:rsidR="00997178">
        <w:rPr>
          <w:rFonts w:ascii="Times New Roman" w:hAnsi="Times New Roman" w:cs="Times New Roman"/>
        </w:rPr>
        <w:t>A d</w:t>
      </w:r>
      <w:r w:rsidRPr="00A46307">
        <w:rPr>
          <w:rFonts w:ascii="Times New Roman" w:hAnsi="Times New Roman" w:cs="Times New Roman"/>
        </w:rPr>
        <w:t xml:space="preserve">isease severity index (DSI) was </w:t>
      </w:r>
      <w:r>
        <w:rPr>
          <w:rFonts w:ascii="Times New Roman" w:hAnsi="Times New Roman" w:cs="Times New Roman"/>
        </w:rPr>
        <w:t>calculated</w:t>
      </w:r>
      <w:r w:rsidRPr="00A46307">
        <w:rPr>
          <w:rFonts w:ascii="Times New Roman" w:hAnsi="Times New Roman" w:cs="Times New Roman"/>
        </w:rPr>
        <w:t xml:space="preserve"> using the following equation:</w:t>
      </w:r>
    </w:p>
    <w:p w14:paraId="64C08EE2" w14:textId="77777777" w:rsidR="007D7B8A" w:rsidRPr="00691291" w:rsidRDefault="007D7B8A" w:rsidP="007D7B8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bookmarkStart w:id="2" w:name="_Hlk68292781"/>
      <m:oMathPara>
        <m:oMath>
          <m:r>
            <w:rPr>
              <w:rFonts w:ascii="Cambria Math" w:hAnsi="Cambria Math" w:cs="Times New Roman"/>
            </w:rPr>
            <m:t>DSI=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Σ</m:t>
              </m:r>
              <m:d>
                <m:dPr>
                  <m:begChr m:val="[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(class no.</m:t>
                  </m:r>
                </m:e>
              </m:d>
              <m:r>
                <w:rPr>
                  <w:rFonts w:ascii="Cambria Math" w:hAnsi="Cambria Math" w:cs="Times New Roman"/>
                </w:rPr>
                <m:t>(no. plants in each class)]</m:t>
              </m:r>
            </m:num>
            <m:den>
              <m:r>
                <w:rPr>
                  <w:rFonts w:ascii="Cambria Math" w:hAnsi="Cambria Math" w:cs="Times New Roman"/>
                </w:rPr>
                <m:t>(total no. plants per sample)(no. class-1)</m:t>
              </m:r>
            </m:den>
          </m:f>
          <m:r>
            <w:rPr>
              <w:rFonts w:ascii="Cambria Math" w:hAnsi="Cambria Math" w:cs="Times New Roman"/>
            </w:rPr>
            <m:t xml:space="preserve"> × 100</m:t>
          </m:r>
        </m:oMath>
      </m:oMathPara>
      <w:bookmarkEnd w:id="2"/>
    </w:p>
    <w:p w14:paraId="47C6C64E" w14:textId="1EAB6F76" w:rsidR="007D7B8A" w:rsidRDefault="007D7B8A" w:rsidP="007D7B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fresh and dry weight was measured on the above-ground portions of each experimental unit. </w:t>
      </w:r>
      <w:r w:rsidRPr="00A46307">
        <w:rPr>
          <w:rFonts w:ascii="Times New Roman" w:hAnsi="Times New Roman" w:cs="Times New Roman"/>
        </w:rPr>
        <w:t xml:space="preserve">Data was analyzed using </w:t>
      </w:r>
      <w:r w:rsidR="00B26331">
        <w:rPr>
          <w:rFonts w:ascii="Times New Roman" w:hAnsi="Times New Roman" w:cs="Times New Roman"/>
        </w:rPr>
        <w:t>ANOVA in</w:t>
      </w:r>
      <w:r w:rsidRPr="00A46307">
        <w:rPr>
          <w:rFonts w:ascii="Times New Roman" w:hAnsi="Times New Roman" w:cs="Times New Roman"/>
        </w:rPr>
        <w:t xml:space="preserve"> PROC GLIMMIX </w:t>
      </w:r>
      <w:r w:rsidR="00B26331">
        <w:rPr>
          <w:rFonts w:ascii="Times New Roman" w:hAnsi="Times New Roman" w:cs="Times New Roman"/>
        </w:rPr>
        <w:t xml:space="preserve">and means were separated </w:t>
      </w:r>
      <w:r w:rsidRPr="00A46307">
        <w:rPr>
          <w:rFonts w:ascii="Times New Roman" w:hAnsi="Times New Roman" w:cs="Times New Roman"/>
        </w:rPr>
        <w:t xml:space="preserve">using </w:t>
      </w:r>
      <w:bookmarkStart w:id="3" w:name="_Hlk93436329"/>
      <w:r w:rsidRPr="00A46307">
        <w:rPr>
          <w:rFonts w:ascii="Times New Roman" w:hAnsi="Times New Roman" w:cs="Times New Roman"/>
        </w:rPr>
        <w:t xml:space="preserve">Tukey’s test at </w:t>
      </w:r>
      <w:r w:rsidRPr="00A46307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 </w:t>
      </w:r>
      <w:r w:rsidRPr="00A46307">
        <w:rPr>
          <w:rFonts w:ascii="Times New Roman" w:hAnsi="Times New Roman" w:cs="Times New Roman"/>
        </w:rPr>
        <w:t xml:space="preserve">= 0.05 </w:t>
      </w:r>
      <w:bookmarkEnd w:id="3"/>
      <w:r w:rsidRPr="00A46307">
        <w:rPr>
          <w:rFonts w:ascii="Times New Roman" w:hAnsi="Times New Roman" w:cs="Times New Roman"/>
        </w:rPr>
        <w:t>in SAS 9.4 (SAS Institute, Cary, IN).</w:t>
      </w:r>
      <w:r>
        <w:rPr>
          <w:rFonts w:ascii="Times New Roman" w:hAnsi="Times New Roman" w:cs="Times New Roman"/>
        </w:rPr>
        <w:t xml:space="preserve"> Data for </w:t>
      </w:r>
      <w:r w:rsidR="00B26331">
        <w:rPr>
          <w:rFonts w:ascii="Times New Roman" w:hAnsi="Times New Roman" w:cs="Times New Roman"/>
        </w:rPr>
        <w:t xml:space="preserve">clubroot </w:t>
      </w:r>
      <w:r>
        <w:rPr>
          <w:rFonts w:ascii="Times New Roman" w:hAnsi="Times New Roman" w:cs="Times New Roman"/>
        </w:rPr>
        <w:t xml:space="preserve">severity and incidence were analyzed as a </w:t>
      </w:r>
      <w:r>
        <w:rPr>
          <w:rFonts w:ascii="Times New Roman" w:hAnsi="Times New Roman" w:cs="Times New Roman"/>
        </w:rPr>
        <w:lastRenderedPageBreak/>
        <w:t>two-way factorial (boron x lime) while fresh and dry weights were analyzed as a three-</w:t>
      </w:r>
      <w:r w:rsidR="00B26331">
        <w:rPr>
          <w:rFonts w:ascii="Times New Roman" w:hAnsi="Times New Roman" w:cs="Times New Roman"/>
        </w:rPr>
        <w:t xml:space="preserve">way </w:t>
      </w:r>
      <w:r>
        <w:rPr>
          <w:rFonts w:ascii="Times New Roman" w:hAnsi="Times New Roman" w:cs="Times New Roman"/>
        </w:rPr>
        <w:t>factorial (inoculation x boron x lime)</w:t>
      </w:r>
    </w:p>
    <w:p w14:paraId="62FA8583" w14:textId="3FE0E202" w:rsidR="00B00D0B" w:rsidRDefault="00B00D0B" w:rsidP="007D7B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2A3F3" w14:textId="76CBB03C" w:rsidR="00086B6B" w:rsidRDefault="00B00D0B" w:rsidP="007D7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887">
        <w:rPr>
          <w:rFonts w:ascii="Times New Roman" w:hAnsi="Times New Roman" w:cs="Times New Roman"/>
          <w:b/>
          <w:bCs/>
        </w:rPr>
        <w:t>R</w:t>
      </w:r>
      <w:r w:rsidR="00086B6B">
        <w:rPr>
          <w:rFonts w:ascii="Times New Roman" w:hAnsi="Times New Roman" w:cs="Times New Roman"/>
          <w:b/>
          <w:bCs/>
        </w:rPr>
        <w:t>ESULTS</w:t>
      </w:r>
      <w:r>
        <w:rPr>
          <w:rFonts w:ascii="Times New Roman" w:hAnsi="Times New Roman" w:cs="Times New Roman"/>
        </w:rPr>
        <w:t>:</w:t>
      </w:r>
      <w:r w:rsidR="00126887">
        <w:rPr>
          <w:rFonts w:ascii="Times New Roman" w:hAnsi="Times New Roman" w:cs="Times New Roman"/>
        </w:rPr>
        <w:t xml:space="preserve"> As seen in </w:t>
      </w:r>
      <w:r w:rsidR="0087170B">
        <w:rPr>
          <w:rFonts w:ascii="Times New Roman" w:hAnsi="Times New Roman" w:cs="Times New Roman"/>
        </w:rPr>
        <w:t>T</w:t>
      </w:r>
      <w:r w:rsidR="00126887">
        <w:rPr>
          <w:rFonts w:ascii="Times New Roman" w:hAnsi="Times New Roman" w:cs="Times New Roman"/>
        </w:rPr>
        <w:t>able 1</w:t>
      </w:r>
      <w:r w:rsidR="004A6226">
        <w:rPr>
          <w:rFonts w:ascii="Times New Roman" w:hAnsi="Times New Roman" w:cs="Times New Roman"/>
        </w:rPr>
        <w:t xml:space="preserve"> and 2</w:t>
      </w:r>
      <w:r w:rsidR="00292B71">
        <w:rPr>
          <w:rFonts w:ascii="Times New Roman" w:hAnsi="Times New Roman" w:cs="Times New Roman"/>
        </w:rPr>
        <w:t xml:space="preserve"> and </w:t>
      </w:r>
      <w:r w:rsidR="0087170B">
        <w:rPr>
          <w:rFonts w:ascii="Times New Roman" w:hAnsi="Times New Roman" w:cs="Times New Roman"/>
        </w:rPr>
        <w:t>F</w:t>
      </w:r>
      <w:r w:rsidR="00292B71">
        <w:rPr>
          <w:rFonts w:ascii="Times New Roman" w:hAnsi="Times New Roman" w:cs="Times New Roman"/>
        </w:rPr>
        <w:t>igure 1 and 2</w:t>
      </w:r>
    </w:p>
    <w:p w14:paraId="33577DAF" w14:textId="77777777" w:rsidR="00EC226C" w:rsidRDefault="00EC226C" w:rsidP="007D7B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5C8C0" w14:textId="3BAA334F" w:rsidR="00651C22" w:rsidRPr="00A46307" w:rsidRDefault="00086B6B" w:rsidP="00651C22">
      <w:pPr>
        <w:spacing w:after="0" w:line="240" w:lineRule="auto"/>
        <w:rPr>
          <w:rFonts w:ascii="Times New Roman" w:hAnsi="Times New Roman" w:cs="Times New Roman"/>
        </w:rPr>
      </w:pPr>
      <w:r w:rsidRPr="00086B6B"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: </w:t>
      </w:r>
      <w:r w:rsidR="008A3D18">
        <w:rPr>
          <w:rFonts w:ascii="Times New Roman" w:hAnsi="Times New Roman" w:cs="Times New Roman"/>
        </w:rPr>
        <w:t xml:space="preserve"> In both runs of the experiment t</w:t>
      </w:r>
      <w:r w:rsidR="00BC0EE9">
        <w:rPr>
          <w:rFonts w:ascii="Times New Roman" w:hAnsi="Times New Roman" w:cs="Times New Roman"/>
        </w:rPr>
        <w:t>here was no effect of boron and no interaction between lime and boron for clubroot incidence or severity</w:t>
      </w:r>
      <w:r w:rsidR="0089782D">
        <w:rPr>
          <w:rFonts w:ascii="Times New Roman" w:hAnsi="Times New Roman" w:cs="Times New Roman"/>
        </w:rPr>
        <w:t>. However,</w:t>
      </w:r>
      <w:r w:rsidR="00BC0EE9">
        <w:rPr>
          <w:rFonts w:ascii="Times New Roman" w:hAnsi="Times New Roman" w:cs="Times New Roman"/>
        </w:rPr>
        <w:t xml:space="preserve"> clubroot incidence and severity decrease</w:t>
      </w:r>
      <w:r w:rsidR="004C6A8F">
        <w:rPr>
          <w:rFonts w:ascii="Times New Roman" w:hAnsi="Times New Roman" w:cs="Times New Roman"/>
        </w:rPr>
        <w:t>d</w:t>
      </w:r>
      <w:r w:rsidR="00BC0EE9">
        <w:rPr>
          <w:rFonts w:ascii="Times New Roman" w:hAnsi="Times New Roman" w:cs="Times New Roman"/>
        </w:rPr>
        <w:t xml:space="preserve"> as pH increased (Table </w:t>
      </w:r>
      <w:r w:rsidR="005D0606">
        <w:rPr>
          <w:rFonts w:ascii="Times New Roman" w:hAnsi="Times New Roman" w:cs="Times New Roman"/>
        </w:rPr>
        <w:t>1 and 2</w:t>
      </w:r>
      <w:r w:rsidR="00BC0EE9">
        <w:rPr>
          <w:rFonts w:ascii="Times New Roman" w:hAnsi="Times New Roman" w:cs="Times New Roman"/>
        </w:rPr>
        <w:t>). Inoculation reduce</w:t>
      </w:r>
      <w:r w:rsidR="00EC0521">
        <w:rPr>
          <w:rFonts w:ascii="Times New Roman" w:hAnsi="Times New Roman" w:cs="Times New Roman"/>
        </w:rPr>
        <w:t>d</w:t>
      </w:r>
      <w:r w:rsidR="00BC0EE9">
        <w:rPr>
          <w:rFonts w:ascii="Times New Roman" w:hAnsi="Times New Roman" w:cs="Times New Roman"/>
        </w:rPr>
        <w:t xml:space="preserve"> plant fresh and dry weight except in soil amended with lime</w:t>
      </w:r>
      <w:r w:rsidR="008562AE">
        <w:rPr>
          <w:rFonts w:ascii="Times New Roman" w:hAnsi="Times New Roman" w:cs="Times New Roman"/>
        </w:rPr>
        <w:t xml:space="preserve"> (Figure 1</w:t>
      </w:r>
      <w:r w:rsidR="008A3D18">
        <w:rPr>
          <w:rFonts w:ascii="Times New Roman" w:hAnsi="Times New Roman" w:cs="Times New Roman"/>
        </w:rPr>
        <w:t xml:space="preserve"> and 2</w:t>
      </w:r>
      <w:r w:rsidR="008562AE">
        <w:rPr>
          <w:rFonts w:ascii="Times New Roman" w:hAnsi="Times New Roman" w:cs="Times New Roman"/>
        </w:rPr>
        <w:t>)</w:t>
      </w:r>
      <w:r w:rsidR="00BC0EE9">
        <w:rPr>
          <w:rFonts w:ascii="Times New Roman" w:hAnsi="Times New Roman" w:cs="Times New Roman"/>
        </w:rPr>
        <w:t>.</w:t>
      </w:r>
      <w:r w:rsidR="0093684E">
        <w:rPr>
          <w:rFonts w:ascii="Times New Roman" w:hAnsi="Times New Roman" w:cs="Times New Roman"/>
        </w:rPr>
        <w:t xml:space="preserve"> </w:t>
      </w:r>
      <w:r w:rsidR="00E012CE">
        <w:rPr>
          <w:rFonts w:ascii="Times New Roman" w:hAnsi="Times New Roman" w:cs="Times New Roman"/>
        </w:rPr>
        <w:t>T</w:t>
      </w:r>
      <w:r w:rsidR="00651C22">
        <w:rPr>
          <w:rFonts w:ascii="Times New Roman" w:hAnsi="Times New Roman" w:cs="Times New Roman"/>
        </w:rPr>
        <w:t xml:space="preserve">his growth room trial </w:t>
      </w:r>
      <w:r w:rsidR="00E012CE">
        <w:rPr>
          <w:rFonts w:ascii="Times New Roman" w:hAnsi="Times New Roman" w:cs="Times New Roman"/>
        </w:rPr>
        <w:t>supports</w:t>
      </w:r>
      <w:r w:rsidR="00651C22">
        <w:rPr>
          <w:rFonts w:ascii="Times New Roman" w:hAnsi="Times New Roman" w:cs="Times New Roman"/>
        </w:rPr>
        <w:t xml:space="preserve"> previous results that there is no interaction between boron and lime. Using lime to increase the soil pH</w:t>
      </w:r>
      <w:r w:rsidR="002A0DC1">
        <w:rPr>
          <w:rFonts w:ascii="Times New Roman" w:hAnsi="Times New Roman" w:cs="Times New Roman"/>
        </w:rPr>
        <w:t xml:space="preserve"> is an</w:t>
      </w:r>
      <w:r w:rsidR="00651C22">
        <w:rPr>
          <w:rFonts w:ascii="Times New Roman" w:hAnsi="Times New Roman" w:cs="Times New Roman"/>
        </w:rPr>
        <w:t xml:space="preserve"> effective management strategy to decrease clubroot severity. The use of boron for clubroot management requires further study. </w:t>
      </w:r>
    </w:p>
    <w:p w14:paraId="605A1F95" w14:textId="76447792" w:rsidR="004B293A" w:rsidRDefault="001B0756" w:rsidP="007D7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75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575056">
        <w:rPr>
          <w:rFonts w:ascii="Times New Roman" w:hAnsi="Times New Roman" w:cs="Times New Roman"/>
        </w:rPr>
        <w:t xml:space="preserve"> </w:t>
      </w:r>
    </w:p>
    <w:p w14:paraId="7ECC97D4" w14:textId="3104DCC3" w:rsidR="00C247FF" w:rsidRPr="00E53BA7" w:rsidRDefault="004B293A" w:rsidP="004A4CE9">
      <w:pPr>
        <w:spacing w:after="0"/>
        <w:rPr>
          <w:rFonts w:ascii="Times New Roman" w:hAnsi="Times New Roman" w:cs="Times New Roman"/>
        </w:rPr>
      </w:pPr>
      <w:r w:rsidRPr="008425C1"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/>
        </w:rPr>
        <w:t xml:space="preserve">: </w:t>
      </w:r>
      <w:r w:rsidR="00C247FF">
        <w:rPr>
          <w:rFonts w:ascii="Times New Roman" w:hAnsi="Times New Roman" w:cs="Times New Roman"/>
        </w:rPr>
        <w:t>Effect of boron (applied as SOLUBOR) and lime (applied as HYDRATED LIME</w:t>
      </w:r>
      <w:r w:rsidR="00E012CE">
        <w:rPr>
          <w:rFonts w:ascii="Times New Roman" w:hAnsi="Times New Roman" w:cs="Times New Roman"/>
        </w:rPr>
        <w:t>)</w:t>
      </w:r>
      <w:r w:rsidR="00C247FF">
        <w:rPr>
          <w:rFonts w:ascii="Times New Roman" w:hAnsi="Times New Roman" w:cs="Times New Roman"/>
        </w:rPr>
        <w:t xml:space="preserve"> on clubroot incidence and severity (disease severity index</w:t>
      </w:r>
      <w:r w:rsidR="00E012CE">
        <w:rPr>
          <w:rFonts w:ascii="Times New Roman" w:hAnsi="Times New Roman" w:cs="Times New Roman"/>
        </w:rPr>
        <w:t xml:space="preserve">, </w:t>
      </w:r>
      <w:r w:rsidR="00C247FF">
        <w:rPr>
          <w:rFonts w:ascii="Times New Roman" w:hAnsi="Times New Roman" w:cs="Times New Roman"/>
        </w:rPr>
        <w:t xml:space="preserve">DSI) </w:t>
      </w:r>
      <w:r w:rsidR="00E53BA7">
        <w:rPr>
          <w:rFonts w:ascii="Times New Roman" w:hAnsi="Times New Roman" w:cs="Times New Roman"/>
        </w:rPr>
        <w:t xml:space="preserve">on canola inoculated with </w:t>
      </w:r>
      <w:r w:rsidR="00E53BA7">
        <w:rPr>
          <w:rFonts w:ascii="Times New Roman" w:hAnsi="Times New Roman" w:cs="Times New Roman"/>
          <w:i/>
          <w:iCs/>
        </w:rPr>
        <w:t>P</w:t>
      </w:r>
      <w:r w:rsidR="00EC226C">
        <w:rPr>
          <w:rFonts w:ascii="Times New Roman" w:hAnsi="Times New Roman" w:cs="Times New Roman"/>
          <w:i/>
          <w:iCs/>
        </w:rPr>
        <w:t>.</w:t>
      </w:r>
      <w:r w:rsidR="00E53BA7">
        <w:rPr>
          <w:rFonts w:ascii="Times New Roman" w:hAnsi="Times New Roman" w:cs="Times New Roman"/>
          <w:i/>
          <w:iCs/>
        </w:rPr>
        <w:t xml:space="preserve"> brassi</w:t>
      </w:r>
      <w:r w:rsidR="00EC226C">
        <w:rPr>
          <w:rFonts w:ascii="Times New Roman" w:hAnsi="Times New Roman" w:cs="Times New Roman"/>
          <w:i/>
          <w:iCs/>
        </w:rPr>
        <w:t xml:space="preserve">cae </w:t>
      </w:r>
      <w:r w:rsidR="00E53BA7">
        <w:rPr>
          <w:rFonts w:ascii="Times New Roman" w:hAnsi="Times New Roman" w:cs="Times New Roman"/>
        </w:rPr>
        <w:t>pathotype 2</w:t>
      </w:r>
      <w:r w:rsidR="00EC226C">
        <w:rPr>
          <w:rFonts w:ascii="Times New Roman" w:hAnsi="Times New Roman" w:cs="Times New Roman"/>
        </w:rPr>
        <w:t xml:space="preserve"> in Run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062"/>
        <w:gridCol w:w="2062"/>
      </w:tblGrid>
      <w:tr w:rsidR="004B293A" w:rsidRPr="004B293A" w14:paraId="0FBAC4E1" w14:textId="77777777" w:rsidTr="00A41126">
        <w:trPr>
          <w:trHeight w:val="319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6D52B651" w14:textId="3F3B9424" w:rsidR="004B293A" w:rsidRPr="00E8178F" w:rsidRDefault="00A41126" w:rsidP="004A4CE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19292D2D" w14:textId="587DE3AC" w:rsidR="004B293A" w:rsidRPr="00E8178F" w:rsidRDefault="004B293A" w:rsidP="007B58C0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178F">
              <w:rPr>
                <w:rFonts w:ascii="Times New Roman" w:hAnsi="Times New Roman" w:cs="Times New Roman"/>
              </w:rPr>
              <w:t>Incidence (%)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5BB6D29D" w14:textId="7094246F" w:rsidR="004B293A" w:rsidRPr="00E8178F" w:rsidRDefault="00A41126" w:rsidP="007B58C0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178F">
              <w:rPr>
                <w:rFonts w:ascii="Times New Roman" w:hAnsi="Times New Roman" w:cs="Times New Roman"/>
              </w:rPr>
              <w:t>Severity</w:t>
            </w:r>
            <w:r w:rsidR="004B293A" w:rsidRPr="00E8178F">
              <w:rPr>
                <w:rFonts w:ascii="Times New Roman" w:hAnsi="Times New Roman" w:cs="Times New Roman"/>
              </w:rPr>
              <w:t xml:space="preserve"> (</w:t>
            </w:r>
            <w:r w:rsidRPr="00E8178F">
              <w:rPr>
                <w:rFonts w:ascii="Times New Roman" w:hAnsi="Times New Roman" w:cs="Times New Roman"/>
              </w:rPr>
              <w:t xml:space="preserve">DSI; </w:t>
            </w:r>
            <w:r w:rsidR="004B293A" w:rsidRPr="00E8178F">
              <w:rPr>
                <w:rFonts w:ascii="Times New Roman" w:hAnsi="Times New Roman" w:cs="Times New Roman"/>
              </w:rPr>
              <w:t>%)</w:t>
            </w:r>
          </w:p>
        </w:tc>
      </w:tr>
      <w:tr w:rsidR="00A41126" w:rsidRPr="004B293A" w14:paraId="636A0E8A" w14:textId="77777777" w:rsidTr="00A41126">
        <w:trPr>
          <w:trHeight w:val="319"/>
        </w:trPr>
        <w:tc>
          <w:tcPr>
            <w:tcW w:w="2062" w:type="dxa"/>
            <w:tcBorders>
              <w:top w:val="single" w:sz="4" w:space="0" w:color="auto"/>
            </w:tcBorders>
          </w:tcPr>
          <w:p w14:paraId="2609A8E4" w14:textId="191A1074" w:rsidR="00A41126" w:rsidRPr="00E8178F" w:rsidRDefault="00A41126" w:rsidP="004B293A">
            <w:pPr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Lime (pH target)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5BA0EA20" w14:textId="77777777" w:rsidR="00A41126" w:rsidRPr="004B293A" w:rsidRDefault="00A41126" w:rsidP="00DE2C0C">
            <w:pPr>
              <w:tabs>
                <w:tab w:val="decimal" w:pos="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4742A969" w14:textId="77777777" w:rsidR="00A41126" w:rsidRPr="004B293A" w:rsidRDefault="00A41126" w:rsidP="007B58C0">
            <w:pPr>
              <w:tabs>
                <w:tab w:val="decimal" w:pos="825"/>
              </w:tabs>
              <w:rPr>
                <w:rFonts w:ascii="Times New Roman" w:hAnsi="Times New Roman" w:cs="Times New Roman"/>
              </w:rPr>
            </w:pPr>
          </w:p>
        </w:tc>
      </w:tr>
      <w:tr w:rsidR="004B293A" w:rsidRPr="004B293A" w14:paraId="5A7DDC9D" w14:textId="77777777" w:rsidTr="00A41126">
        <w:trPr>
          <w:trHeight w:val="319"/>
        </w:trPr>
        <w:tc>
          <w:tcPr>
            <w:tcW w:w="2062" w:type="dxa"/>
          </w:tcPr>
          <w:p w14:paraId="0B1F982D" w14:textId="62257077" w:rsidR="004B293A" w:rsidRPr="00E8178F" w:rsidRDefault="00A41126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pH 6.4 (control)</w:t>
            </w:r>
          </w:p>
        </w:tc>
        <w:tc>
          <w:tcPr>
            <w:tcW w:w="2062" w:type="dxa"/>
          </w:tcPr>
          <w:p w14:paraId="561D9ECF" w14:textId="63798210" w:rsidR="004B293A" w:rsidRPr="005D0606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4B293A">
              <w:rPr>
                <w:rFonts w:ascii="Times New Roman" w:hAnsi="Times New Roman" w:cs="Times New Roman"/>
              </w:rPr>
              <w:t>100 a</w:t>
            </w:r>
            <w:r w:rsidR="005D060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62" w:type="dxa"/>
          </w:tcPr>
          <w:p w14:paraId="49624856" w14:textId="29BBB511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97 a</w:t>
            </w:r>
          </w:p>
        </w:tc>
      </w:tr>
      <w:tr w:rsidR="004B293A" w:rsidRPr="004B293A" w14:paraId="6068B738" w14:textId="77777777" w:rsidTr="00A41126">
        <w:trPr>
          <w:trHeight w:val="319"/>
        </w:trPr>
        <w:tc>
          <w:tcPr>
            <w:tcW w:w="2062" w:type="dxa"/>
          </w:tcPr>
          <w:p w14:paraId="298556EB" w14:textId="6C49D411" w:rsidR="004B293A" w:rsidRPr="00E8178F" w:rsidRDefault="00A41126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 xml:space="preserve">pH </w:t>
            </w:r>
            <w:r w:rsidR="004B293A" w:rsidRPr="00E8178F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2062" w:type="dxa"/>
          </w:tcPr>
          <w:p w14:paraId="7B642DB7" w14:textId="5A9E5433" w:rsidR="004B293A" w:rsidRPr="004B293A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7</w:t>
            </w:r>
            <w:r w:rsidR="00897245">
              <w:rPr>
                <w:rFonts w:ascii="Times New Roman" w:hAnsi="Times New Roman" w:cs="Times New Roman"/>
              </w:rPr>
              <w:t>9</w:t>
            </w:r>
            <w:r w:rsidRPr="004B293A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062" w:type="dxa"/>
          </w:tcPr>
          <w:p w14:paraId="4D3AB619" w14:textId="5469419C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4</w:t>
            </w:r>
            <w:r w:rsidR="00897245">
              <w:rPr>
                <w:rFonts w:ascii="Times New Roman" w:hAnsi="Times New Roman" w:cs="Times New Roman"/>
              </w:rPr>
              <w:t>3</w:t>
            </w:r>
            <w:r w:rsidRPr="004B293A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4B293A" w:rsidRPr="004B293A" w14:paraId="056DF6D9" w14:textId="77777777" w:rsidTr="00A41126">
        <w:trPr>
          <w:trHeight w:val="319"/>
        </w:trPr>
        <w:tc>
          <w:tcPr>
            <w:tcW w:w="2062" w:type="dxa"/>
          </w:tcPr>
          <w:p w14:paraId="2C49CCE4" w14:textId="2C5C9613" w:rsidR="004B293A" w:rsidRPr="00E8178F" w:rsidRDefault="00A41126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 xml:space="preserve">pH </w:t>
            </w:r>
            <w:r w:rsidR="004B293A" w:rsidRPr="00E8178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062" w:type="dxa"/>
          </w:tcPr>
          <w:p w14:paraId="26460FBC" w14:textId="4DB43C85" w:rsidR="004B293A" w:rsidRPr="004B293A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1</w:t>
            </w:r>
            <w:r w:rsidR="00897245">
              <w:rPr>
                <w:rFonts w:ascii="Times New Roman" w:hAnsi="Times New Roman" w:cs="Times New Roman"/>
              </w:rPr>
              <w:t>4</w:t>
            </w:r>
            <w:r w:rsidRPr="004B293A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062" w:type="dxa"/>
          </w:tcPr>
          <w:p w14:paraId="68D66F05" w14:textId="563B2395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5 c</w:t>
            </w:r>
          </w:p>
        </w:tc>
      </w:tr>
      <w:tr w:rsidR="004B293A" w:rsidRPr="004B293A" w14:paraId="7DF821BE" w14:textId="77777777" w:rsidTr="00A41126">
        <w:trPr>
          <w:trHeight w:val="319"/>
        </w:trPr>
        <w:tc>
          <w:tcPr>
            <w:tcW w:w="2062" w:type="dxa"/>
          </w:tcPr>
          <w:p w14:paraId="166EF7D1" w14:textId="77D90D0D" w:rsidR="004B293A" w:rsidRPr="00E8178F" w:rsidRDefault="004B293A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Boron (kg B/ha)</w:t>
            </w:r>
          </w:p>
        </w:tc>
        <w:tc>
          <w:tcPr>
            <w:tcW w:w="2062" w:type="dxa"/>
          </w:tcPr>
          <w:p w14:paraId="3A25C533" w14:textId="77777777" w:rsidR="004B293A" w:rsidRPr="004B293A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60AF8D0" w14:textId="77777777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B293A" w:rsidRPr="004B293A" w14:paraId="54898C30" w14:textId="77777777" w:rsidTr="00A41126">
        <w:trPr>
          <w:trHeight w:val="319"/>
        </w:trPr>
        <w:tc>
          <w:tcPr>
            <w:tcW w:w="2062" w:type="dxa"/>
          </w:tcPr>
          <w:p w14:paraId="33338297" w14:textId="70185C57" w:rsidR="004B293A" w:rsidRPr="00E8178F" w:rsidRDefault="004B293A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0</w:t>
            </w:r>
            <w:r w:rsidR="00A41126" w:rsidRPr="00E8178F">
              <w:rPr>
                <w:rFonts w:ascii="Times New Roman" w:hAnsi="Times New Roman" w:cs="Times New Roman"/>
              </w:rPr>
              <w:t xml:space="preserve"> (control)</w:t>
            </w:r>
          </w:p>
        </w:tc>
        <w:tc>
          <w:tcPr>
            <w:tcW w:w="2062" w:type="dxa"/>
          </w:tcPr>
          <w:p w14:paraId="5A25AB67" w14:textId="052AB6A4" w:rsidR="004B293A" w:rsidRPr="005D0606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4B293A">
              <w:rPr>
                <w:rFonts w:ascii="Times New Roman" w:hAnsi="Times New Roman" w:cs="Times New Roman"/>
              </w:rPr>
              <w:t xml:space="preserve">68 </w:t>
            </w:r>
            <w:r w:rsidR="004364B2">
              <w:rPr>
                <w:rFonts w:ascii="Times New Roman" w:hAnsi="Times New Roman" w:cs="Times New Roman"/>
              </w:rPr>
              <w:t>ns</w:t>
            </w:r>
            <w:r w:rsidR="005D060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62" w:type="dxa"/>
          </w:tcPr>
          <w:p w14:paraId="722D725F" w14:textId="2FCD685D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5</w:t>
            </w:r>
            <w:r w:rsidR="00897245">
              <w:rPr>
                <w:rFonts w:ascii="Times New Roman" w:hAnsi="Times New Roman" w:cs="Times New Roman"/>
              </w:rPr>
              <w:t>1</w:t>
            </w:r>
            <w:r w:rsidRPr="004B293A">
              <w:rPr>
                <w:rFonts w:ascii="Times New Roman" w:hAnsi="Times New Roman" w:cs="Times New Roman"/>
              </w:rPr>
              <w:t xml:space="preserve"> </w:t>
            </w:r>
            <w:r w:rsidR="004364B2">
              <w:rPr>
                <w:rFonts w:ascii="Times New Roman" w:hAnsi="Times New Roman" w:cs="Times New Roman"/>
              </w:rPr>
              <w:t>ns</w:t>
            </w:r>
          </w:p>
        </w:tc>
      </w:tr>
      <w:tr w:rsidR="004B293A" w:rsidRPr="004B293A" w14:paraId="3A0B8AAE" w14:textId="77777777" w:rsidTr="00A41126">
        <w:trPr>
          <w:trHeight w:val="319"/>
        </w:trPr>
        <w:tc>
          <w:tcPr>
            <w:tcW w:w="2062" w:type="dxa"/>
            <w:tcBorders>
              <w:bottom w:val="single" w:sz="4" w:space="0" w:color="auto"/>
            </w:tcBorders>
          </w:tcPr>
          <w:p w14:paraId="3BD3FA02" w14:textId="77777777" w:rsidR="004B293A" w:rsidRPr="004B293A" w:rsidRDefault="004B293A" w:rsidP="004B29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E2B0022" w14:textId="4871AE1F" w:rsidR="004B293A" w:rsidRPr="004B293A" w:rsidRDefault="004B293A" w:rsidP="00DE2C0C">
            <w:pPr>
              <w:tabs>
                <w:tab w:val="decimal" w:pos="91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2B0F749" w14:textId="293BEE15" w:rsidR="004B293A" w:rsidRPr="004B293A" w:rsidRDefault="004B293A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B293A">
              <w:rPr>
                <w:rFonts w:ascii="Times New Roman" w:hAnsi="Times New Roman" w:cs="Times New Roman"/>
              </w:rPr>
              <w:t xml:space="preserve">46 </w:t>
            </w:r>
          </w:p>
        </w:tc>
      </w:tr>
    </w:tbl>
    <w:p w14:paraId="5E1A5F7C" w14:textId="0C5E46C2" w:rsidR="000757C3" w:rsidRDefault="00A41126" w:rsidP="000757C3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0757C3" w:rsidRPr="00A46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Means followed by the</w:t>
      </w:r>
      <w:r w:rsidR="000757C3" w:rsidRPr="003E4C4C">
        <w:rPr>
          <w:rFonts w:ascii="Times New Roman" w:hAnsi="Times New Roman" w:cs="Times New Roman"/>
        </w:rPr>
        <w:t xml:space="preserve"> letter </w:t>
      </w:r>
      <w:r>
        <w:rPr>
          <w:rFonts w:ascii="Times New Roman" w:hAnsi="Times New Roman" w:cs="Times New Roman"/>
        </w:rPr>
        <w:t xml:space="preserve">do not differ </w:t>
      </w:r>
      <w:r w:rsidR="000757C3">
        <w:rPr>
          <w:rFonts w:ascii="Times New Roman" w:hAnsi="Times New Roman" w:cs="Times New Roman"/>
        </w:rPr>
        <w:t>at</w:t>
      </w:r>
      <w:r w:rsidR="000757C3" w:rsidRPr="003E4C4C">
        <w:rPr>
          <w:rFonts w:ascii="Times New Roman" w:hAnsi="Times New Roman" w:cs="Times New Roman"/>
        </w:rPr>
        <w:t xml:space="preserve"> </w:t>
      </w:r>
      <w:r w:rsidR="000757C3" w:rsidRPr="00A46307">
        <w:rPr>
          <w:rFonts w:ascii="Times New Roman" w:hAnsi="Times New Roman" w:cs="Times New Roman"/>
        </w:rPr>
        <w:t>P=0.05</w:t>
      </w:r>
      <w:r>
        <w:rPr>
          <w:rFonts w:ascii="Times New Roman" w:hAnsi="Times New Roman" w:cs="Times New Roman"/>
        </w:rPr>
        <w:t xml:space="preserve"> based on</w:t>
      </w:r>
      <w:r w:rsidR="000757C3" w:rsidRPr="00A46307">
        <w:rPr>
          <w:rFonts w:ascii="Times New Roman" w:hAnsi="Times New Roman" w:cs="Times New Roman"/>
        </w:rPr>
        <w:t xml:space="preserve"> Tukey’s Test</w:t>
      </w:r>
    </w:p>
    <w:p w14:paraId="4EC30E4F" w14:textId="2F10C2A6" w:rsidR="000360CF" w:rsidRDefault="00A41126" w:rsidP="000360CF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0360CF" w:rsidRPr="00A46307"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</w:rPr>
        <w:t xml:space="preserve"> = not significant</w:t>
      </w:r>
    </w:p>
    <w:p w14:paraId="7CCC93C6" w14:textId="77777777" w:rsidR="000360CF" w:rsidRDefault="000360CF" w:rsidP="000360CF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14:paraId="3937C10E" w14:textId="55360A37" w:rsidR="003E7389" w:rsidRPr="004A4CE9" w:rsidRDefault="00EC226C" w:rsidP="00E53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Table 2: </w:t>
      </w:r>
      <w:r>
        <w:rPr>
          <w:rFonts w:ascii="Times New Roman" w:hAnsi="Times New Roman" w:cs="Times New Roman"/>
        </w:rPr>
        <w:t xml:space="preserve">Effect of boron (applied as SOLUBOR) and lime (applied as HYDRATED LIME) on clubroot incidence and severity (disease severity index, DSI) on canola inoculated with </w:t>
      </w:r>
      <w:r>
        <w:rPr>
          <w:rFonts w:ascii="Times New Roman" w:hAnsi="Times New Roman" w:cs="Times New Roman"/>
          <w:i/>
          <w:iCs/>
        </w:rPr>
        <w:t>P. brassicae</w:t>
      </w:r>
      <w:r>
        <w:rPr>
          <w:rFonts w:ascii="Times New Roman" w:hAnsi="Times New Roman" w:cs="Times New Roman"/>
        </w:rPr>
        <w:t xml:space="preserve"> pathotype 2 in Run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062"/>
        <w:gridCol w:w="2062"/>
      </w:tblGrid>
      <w:tr w:rsidR="001964DB" w:rsidRPr="004B293A" w14:paraId="1614C50E" w14:textId="77777777" w:rsidTr="001964DB">
        <w:trPr>
          <w:trHeight w:val="319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09D7B7D7" w14:textId="77777777" w:rsidR="001964DB" w:rsidRPr="00E8178F" w:rsidRDefault="001964DB" w:rsidP="00B36A2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33B46EAD" w14:textId="77777777" w:rsidR="001964DB" w:rsidRPr="00E8178F" w:rsidRDefault="001964DB" w:rsidP="007B58C0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178F">
              <w:rPr>
                <w:rFonts w:ascii="Times New Roman" w:hAnsi="Times New Roman" w:cs="Times New Roman"/>
              </w:rPr>
              <w:t>Incidence (%)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2C06A5D6" w14:textId="77777777" w:rsidR="001964DB" w:rsidRPr="00E8178F" w:rsidRDefault="001964DB" w:rsidP="007B58C0">
            <w:pPr>
              <w:spacing w:line="259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178F">
              <w:rPr>
                <w:rFonts w:ascii="Times New Roman" w:hAnsi="Times New Roman" w:cs="Times New Roman"/>
              </w:rPr>
              <w:t>Severity (DSI; %)</w:t>
            </w:r>
          </w:p>
        </w:tc>
      </w:tr>
      <w:tr w:rsidR="001964DB" w:rsidRPr="004B293A" w14:paraId="3FF42D7A" w14:textId="77777777" w:rsidTr="001964DB">
        <w:trPr>
          <w:trHeight w:val="319"/>
        </w:trPr>
        <w:tc>
          <w:tcPr>
            <w:tcW w:w="2062" w:type="dxa"/>
            <w:tcBorders>
              <w:top w:val="single" w:sz="4" w:space="0" w:color="auto"/>
            </w:tcBorders>
          </w:tcPr>
          <w:p w14:paraId="35D87A69" w14:textId="77777777" w:rsidR="001964DB" w:rsidRPr="00E8178F" w:rsidRDefault="001964DB" w:rsidP="00B36A23">
            <w:pPr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Lime (pH target)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4CDCDD32" w14:textId="77777777" w:rsidR="001964DB" w:rsidRPr="004B293A" w:rsidRDefault="001964DB" w:rsidP="00DE2C0C">
            <w:pPr>
              <w:tabs>
                <w:tab w:val="decimal" w:pos="8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501E92D7" w14:textId="77777777" w:rsidR="001964DB" w:rsidRPr="004B293A" w:rsidRDefault="001964DB" w:rsidP="007B58C0">
            <w:pPr>
              <w:tabs>
                <w:tab w:val="decimal" w:pos="825"/>
              </w:tabs>
              <w:rPr>
                <w:rFonts w:ascii="Times New Roman" w:hAnsi="Times New Roman" w:cs="Times New Roman"/>
              </w:rPr>
            </w:pPr>
          </w:p>
        </w:tc>
      </w:tr>
      <w:tr w:rsidR="001964DB" w:rsidRPr="004B293A" w14:paraId="4422599D" w14:textId="77777777" w:rsidTr="001964DB">
        <w:trPr>
          <w:trHeight w:val="319"/>
        </w:trPr>
        <w:tc>
          <w:tcPr>
            <w:tcW w:w="2062" w:type="dxa"/>
          </w:tcPr>
          <w:p w14:paraId="15818654" w14:textId="77777777" w:rsidR="001964DB" w:rsidRPr="00E8178F" w:rsidRDefault="001964D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pH 6.4 (control)</w:t>
            </w:r>
          </w:p>
        </w:tc>
        <w:tc>
          <w:tcPr>
            <w:tcW w:w="2062" w:type="dxa"/>
          </w:tcPr>
          <w:p w14:paraId="250AF24C" w14:textId="1D746A5F" w:rsidR="001964DB" w:rsidRPr="005D0606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1964DB">
              <w:rPr>
                <w:rFonts w:ascii="Times New Roman" w:hAnsi="Times New Roman" w:cs="Times New Roman"/>
              </w:rPr>
              <w:t>100 a</w:t>
            </w:r>
            <w:r w:rsidR="005D060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62" w:type="dxa"/>
          </w:tcPr>
          <w:p w14:paraId="2FFE26C6" w14:textId="6050CECE" w:rsidR="001964DB" w:rsidRPr="001964DB" w:rsidRDefault="001964DB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8</w:t>
            </w:r>
            <w:r w:rsidR="00DE2C0C">
              <w:rPr>
                <w:rFonts w:ascii="Times New Roman" w:hAnsi="Times New Roman" w:cs="Times New Roman"/>
              </w:rPr>
              <w:t>5</w:t>
            </w:r>
            <w:r w:rsidRPr="001964D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1964DB" w:rsidRPr="004B293A" w14:paraId="6833742E" w14:textId="77777777" w:rsidTr="001964DB">
        <w:trPr>
          <w:trHeight w:val="319"/>
        </w:trPr>
        <w:tc>
          <w:tcPr>
            <w:tcW w:w="2062" w:type="dxa"/>
          </w:tcPr>
          <w:p w14:paraId="74D4B426" w14:textId="77777777" w:rsidR="001964DB" w:rsidRPr="00E8178F" w:rsidRDefault="001964D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pH 7.0</w:t>
            </w:r>
          </w:p>
        </w:tc>
        <w:tc>
          <w:tcPr>
            <w:tcW w:w="2062" w:type="dxa"/>
          </w:tcPr>
          <w:p w14:paraId="1F100706" w14:textId="1FB97F12" w:rsidR="001964DB" w:rsidRPr="001964DB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41 b</w:t>
            </w:r>
          </w:p>
        </w:tc>
        <w:tc>
          <w:tcPr>
            <w:tcW w:w="2062" w:type="dxa"/>
          </w:tcPr>
          <w:p w14:paraId="44EA3657" w14:textId="64B3B7A7" w:rsidR="001964DB" w:rsidRPr="001964DB" w:rsidRDefault="001964DB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1</w:t>
            </w:r>
            <w:r w:rsidR="00DE2C0C">
              <w:rPr>
                <w:rFonts w:ascii="Times New Roman" w:hAnsi="Times New Roman" w:cs="Times New Roman"/>
              </w:rPr>
              <w:t>8</w:t>
            </w:r>
            <w:r w:rsidRPr="001964DB"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1964DB" w:rsidRPr="004B293A" w14:paraId="6D80F274" w14:textId="77777777" w:rsidTr="001964DB">
        <w:trPr>
          <w:trHeight w:val="319"/>
        </w:trPr>
        <w:tc>
          <w:tcPr>
            <w:tcW w:w="2062" w:type="dxa"/>
          </w:tcPr>
          <w:p w14:paraId="18FCFAFB" w14:textId="77777777" w:rsidR="001964DB" w:rsidRPr="00E8178F" w:rsidRDefault="001964D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pH 7.5</w:t>
            </w:r>
          </w:p>
        </w:tc>
        <w:tc>
          <w:tcPr>
            <w:tcW w:w="2062" w:type="dxa"/>
          </w:tcPr>
          <w:p w14:paraId="3C3522BC" w14:textId="1F064E59" w:rsidR="001964DB" w:rsidRPr="001964DB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1</w:t>
            </w:r>
            <w:r w:rsidR="00DE2C0C">
              <w:rPr>
                <w:rFonts w:ascii="Times New Roman" w:hAnsi="Times New Roman" w:cs="Times New Roman"/>
              </w:rPr>
              <w:t xml:space="preserve">3 </w:t>
            </w:r>
            <w:r w:rsidRPr="001964D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62" w:type="dxa"/>
          </w:tcPr>
          <w:p w14:paraId="5D825EF0" w14:textId="6212DC78" w:rsidR="001964DB" w:rsidRPr="001964DB" w:rsidRDefault="001964DB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5 c</w:t>
            </w:r>
          </w:p>
        </w:tc>
      </w:tr>
      <w:tr w:rsidR="001964DB" w:rsidRPr="004B293A" w14:paraId="5054E4CB" w14:textId="77777777" w:rsidTr="001964DB">
        <w:trPr>
          <w:trHeight w:val="319"/>
        </w:trPr>
        <w:tc>
          <w:tcPr>
            <w:tcW w:w="2062" w:type="dxa"/>
          </w:tcPr>
          <w:p w14:paraId="06E2411C" w14:textId="77777777" w:rsidR="001964DB" w:rsidRPr="00E8178F" w:rsidRDefault="001964D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Boron (kg B/ha)</w:t>
            </w:r>
          </w:p>
        </w:tc>
        <w:tc>
          <w:tcPr>
            <w:tcW w:w="2062" w:type="dxa"/>
          </w:tcPr>
          <w:p w14:paraId="30E8711E" w14:textId="77777777" w:rsidR="001964DB" w:rsidRPr="001964DB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0484A3D" w14:textId="77777777" w:rsidR="001964DB" w:rsidRPr="001964DB" w:rsidRDefault="001964DB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964DB" w:rsidRPr="004B293A" w14:paraId="03F50651" w14:textId="77777777" w:rsidTr="001964DB">
        <w:trPr>
          <w:trHeight w:val="319"/>
        </w:trPr>
        <w:tc>
          <w:tcPr>
            <w:tcW w:w="2062" w:type="dxa"/>
          </w:tcPr>
          <w:p w14:paraId="63DA2965" w14:textId="77777777" w:rsidR="001964DB" w:rsidRPr="00E8178F" w:rsidRDefault="001964D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</w:rPr>
              <w:t>0 (control)</w:t>
            </w:r>
          </w:p>
        </w:tc>
        <w:tc>
          <w:tcPr>
            <w:tcW w:w="2062" w:type="dxa"/>
          </w:tcPr>
          <w:p w14:paraId="4372E5E0" w14:textId="0AA7EA06" w:rsidR="001964DB" w:rsidRPr="00CD1197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  <w:vertAlign w:val="superscript"/>
              </w:rPr>
            </w:pPr>
            <w:r w:rsidRPr="001964DB">
              <w:rPr>
                <w:rFonts w:ascii="Times New Roman" w:hAnsi="Times New Roman" w:cs="Times New Roman"/>
              </w:rPr>
              <w:t xml:space="preserve">54 </w:t>
            </w:r>
            <w:r w:rsidR="00CD1197">
              <w:rPr>
                <w:rFonts w:ascii="Times New Roman" w:hAnsi="Times New Roman" w:cs="Times New Roman"/>
              </w:rPr>
              <w:t>ns</w:t>
            </w:r>
            <w:r w:rsidR="00CD119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62" w:type="dxa"/>
          </w:tcPr>
          <w:p w14:paraId="29E9A894" w14:textId="10F6A6A0" w:rsidR="001964DB" w:rsidRPr="001964DB" w:rsidRDefault="001964DB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3</w:t>
            </w:r>
            <w:r w:rsidR="00DE2C0C">
              <w:rPr>
                <w:rFonts w:ascii="Times New Roman" w:hAnsi="Times New Roman" w:cs="Times New Roman"/>
              </w:rPr>
              <w:t>8</w:t>
            </w:r>
            <w:r w:rsidRPr="001964DB">
              <w:rPr>
                <w:rFonts w:ascii="Times New Roman" w:hAnsi="Times New Roman" w:cs="Times New Roman"/>
              </w:rPr>
              <w:t xml:space="preserve"> </w:t>
            </w:r>
            <w:r w:rsidR="00CD1197">
              <w:rPr>
                <w:rFonts w:ascii="Times New Roman" w:hAnsi="Times New Roman" w:cs="Times New Roman"/>
              </w:rPr>
              <w:t>ns</w:t>
            </w:r>
          </w:p>
        </w:tc>
      </w:tr>
      <w:tr w:rsidR="001964DB" w:rsidRPr="004B293A" w14:paraId="07A5177D" w14:textId="77777777" w:rsidTr="001964DB">
        <w:trPr>
          <w:trHeight w:val="319"/>
        </w:trPr>
        <w:tc>
          <w:tcPr>
            <w:tcW w:w="2062" w:type="dxa"/>
            <w:tcBorders>
              <w:bottom w:val="single" w:sz="4" w:space="0" w:color="auto"/>
            </w:tcBorders>
          </w:tcPr>
          <w:p w14:paraId="6A000F04" w14:textId="23FEE71C" w:rsidR="001964DB" w:rsidRPr="004B293A" w:rsidRDefault="00FC630B" w:rsidP="001964D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F4CF222" w14:textId="367E1639" w:rsidR="001964DB" w:rsidRPr="001964DB" w:rsidRDefault="001964DB" w:rsidP="00DE2C0C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964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5F1C87C" w14:textId="656C833C" w:rsidR="001964DB" w:rsidRPr="001964DB" w:rsidRDefault="00DE2C0C" w:rsidP="007B58C0">
            <w:pPr>
              <w:tabs>
                <w:tab w:val="decimal" w:pos="825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964DB" w:rsidRPr="001964D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82D31A" w14:textId="77777777" w:rsidR="001964DB" w:rsidRDefault="001964DB" w:rsidP="001964DB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A46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Means followed by the</w:t>
      </w:r>
      <w:r w:rsidRPr="003E4C4C">
        <w:rPr>
          <w:rFonts w:ascii="Times New Roman" w:hAnsi="Times New Roman" w:cs="Times New Roman"/>
        </w:rPr>
        <w:t xml:space="preserve"> letter </w:t>
      </w:r>
      <w:r>
        <w:rPr>
          <w:rFonts w:ascii="Times New Roman" w:hAnsi="Times New Roman" w:cs="Times New Roman"/>
        </w:rPr>
        <w:t>do not differ at</w:t>
      </w:r>
      <w:r w:rsidRPr="003E4C4C">
        <w:rPr>
          <w:rFonts w:ascii="Times New Roman" w:hAnsi="Times New Roman" w:cs="Times New Roman"/>
        </w:rPr>
        <w:t xml:space="preserve"> </w:t>
      </w:r>
      <w:r w:rsidRPr="00A46307">
        <w:rPr>
          <w:rFonts w:ascii="Times New Roman" w:hAnsi="Times New Roman" w:cs="Times New Roman"/>
        </w:rPr>
        <w:t>P=0.05</w:t>
      </w:r>
      <w:r>
        <w:rPr>
          <w:rFonts w:ascii="Times New Roman" w:hAnsi="Times New Roman" w:cs="Times New Roman"/>
        </w:rPr>
        <w:t xml:space="preserve"> based on</w:t>
      </w:r>
      <w:r w:rsidRPr="00A46307">
        <w:rPr>
          <w:rFonts w:ascii="Times New Roman" w:hAnsi="Times New Roman" w:cs="Times New Roman"/>
        </w:rPr>
        <w:t xml:space="preserve"> Tukey’s Test</w:t>
      </w:r>
    </w:p>
    <w:p w14:paraId="240C0321" w14:textId="7BE0C707" w:rsidR="00CD1197" w:rsidRDefault="00CD1197" w:rsidP="00CD1197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A46307"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</w:rPr>
        <w:t xml:space="preserve"> = not significant</w:t>
      </w:r>
    </w:p>
    <w:p w14:paraId="3B32BB44" w14:textId="143DF107" w:rsidR="003E7389" w:rsidRDefault="003E7389" w:rsidP="00E53BA7">
      <w:pPr>
        <w:spacing w:after="0"/>
        <w:rPr>
          <w:rFonts w:ascii="Times New Roman" w:hAnsi="Times New Roman" w:cs="Times New Roman"/>
          <w:b/>
          <w:bCs/>
        </w:rPr>
      </w:pPr>
    </w:p>
    <w:p w14:paraId="275457CF" w14:textId="77777777" w:rsidR="007E5293" w:rsidRDefault="007E5293" w:rsidP="00E53BA7">
      <w:pPr>
        <w:spacing w:after="0"/>
        <w:rPr>
          <w:rFonts w:ascii="Times New Roman" w:hAnsi="Times New Roman" w:cs="Times New Roman"/>
          <w:b/>
          <w:bCs/>
        </w:rPr>
      </w:pPr>
    </w:p>
    <w:p w14:paraId="4E22E63C" w14:textId="1C8F6432" w:rsidR="003E7389" w:rsidRDefault="003E7389" w:rsidP="00E53BA7">
      <w:pPr>
        <w:spacing w:after="0"/>
        <w:rPr>
          <w:rFonts w:ascii="Times New Roman" w:hAnsi="Times New Roman" w:cs="Times New Roman"/>
          <w:b/>
          <w:bCs/>
        </w:rPr>
      </w:pPr>
    </w:p>
    <w:p w14:paraId="0335FFB5" w14:textId="19234FB1" w:rsidR="00CB4DB3" w:rsidRDefault="00CB4DB3" w:rsidP="00CB4DB3">
      <w:pPr>
        <w:spacing w:after="0"/>
        <w:rPr>
          <w:rFonts w:ascii="Times New Roman" w:hAnsi="Times New Roman" w:cs="Times New Roman"/>
        </w:rPr>
      </w:pPr>
    </w:p>
    <w:p w14:paraId="7AB505F3" w14:textId="0DB23484" w:rsidR="004C6A8F" w:rsidRDefault="004C6A8F" w:rsidP="00CB4DB3">
      <w:pPr>
        <w:spacing w:after="0"/>
        <w:rPr>
          <w:rFonts w:ascii="Times New Roman" w:hAnsi="Times New Roman" w:cs="Times New Roman"/>
        </w:rPr>
      </w:pPr>
    </w:p>
    <w:p w14:paraId="08955B89" w14:textId="64E5575B" w:rsidR="004C6A8F" w:rsidRDefault="004C6A8F" w:rsidP="00CB4DB3">
      <w:pPr>
        <w:spacing w:after="0"/>
        <w:rPr>
          <w:rFonts w:ascii="Times New Roman" w:hAnsi="Times New Roman" w:cs="Times New Roman"/>
        </w:rPr>
      </w:pPr>
    </w:p>
    <w:p w14:paraId="57C0BA50" w14:textId="6A1EBC2F" w:rsidR="004C6A8F" w:rsidRDefault="00000000" w:rsidP="00CB4DB3">
      <w:p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w:pict w14:anchorId="3CB6237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95pt;margin-top:0;width:15.15pt;height:19.35pt;z-index:251659263" filled="f" stroked="f">
            <v:textbox>
              <w:txbxContent>
                <w:p w14:paraId="327A8416" w14:textId="212A1843" w:rsidR="007958FD" w:rsidRPr="007958FD" w:rsidRDefault="007958FD" w:rsidP="00795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58FD"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0989550E">
          <v:shape id="_x0000_s1030" type="#_x0000_t202" style="position:absolute;margin-left:224.6pt;margin-top:0;width:16.65pt;height:19.35pt;z-index:251660287" filled="f" stroked="f">
            <v:textbox>
              <w:txbxContent>
                <w:p w14:paraId="6D849D4D" w14:textId="3EBB2AD2" w:rsidR="007958FD" w:rsidRPr="007958FD" w:rsidRDefault="007958FD">
                  <w:pPr>
                    <w:rPr>
                      <w:b/>
                      <w:bCs/>
                    </w:rPr>
                  </w:pPr>
                  <w:r w:rsidRPr="007958FD"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 w:rsidR="007958FD">
        <w:rPr>
          <w:noProof/>
        </w:rPr>
        <w:drawing>
          <wp:inline distT="0" distB="0" distL="0" distR="0" wp14:anchorId="6927125F" wp14:editId="1AF8C06C">
            <wp:extent cx="2859206" cy="1862919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51A40B4-FDC8-2B7D-2274-085B12BDD2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4C6A8F">
        <w:rPr>
          <w:noProof/>
        </w:rPr>
        <w:drawing>
          <wp:inline distT="0" distB="0" distL="0" distR="0" wp14:anchorId="6BECE15B" wp14:editId="6E50F644">
            <wp:extent cx="2906973" cy="1862446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D2A77B0-7144-ACFD-B68F-F6DC9CBADE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FD7E43" w14:textId="739D5159" w:rsidR="00F805D2" w:rsidRDefault="007958FD" w:rsidP="007D7B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</w:t>
      </w:r>
      <w:r w:rsidR="00F805D2" w:rsidRPr="007F4F67">
        <w:rPr>
          <w:rFonts w:ascii="Times New Roman" w:hAnsi="Times New Roman" w:cs="Times New Roman"/>
          <w:b/>
          <w:bCs/>
        </w:rPr>
        <w:t>gure 1</w:t>
      </w:r>
      <w:r w:rsidR="00F805D2">
        <w:rPr>
          <w:rFonts w:ascii="Times New Roman" w:hAnsi="Times New Roman" w:cs="Times New Roman"/>
        </w:rPr>
        <w:t>. Effect of lime (applied as HYDRATED LIME), boron (applied as SOLUBOR</w:t>
      </w:r>
      <w:r w:rsidR="009E60B0">
        <w:rPr>
          <w:rFonts w:ascii="Times New Roman" w:hAnsi="Times New Roman" w:cs="Times New Roman"/>
        </w:rPr>
        <w:t xml:space="preserve"> at 0 and 4 kg</w:t>
      </w:r>
      <w:r w:rsidR="00707ACC">
        <w:rPr>
          <w:rFonts w:ascii="Times New Roman" w:hAnsi="Times New Roman" w:cs="Times New Roman"/>
        </w:rPr>
        <w:t xml:space="preserve"> B</w:t>
      </w:r>
      <w:r w:rsidR="009E60B0">
        <w:rPr>
          <w:rFonts w:ascii="Times New Roman" w:hAnsi="Times New Roman" w:cs="Times New Roman"/>
        </w:rPr>
        <w:t>/ha</w:t>
      </w:r>
      <w:r w:rsidR="00F805D2">
        <w:rPr>
          <w:rFonts w:ascii="Times New Roman" w:hAnsi="Times New Roman" w:cs="Times New Roman"/>
        </w:rPr>
        <w:t xml:space="preserve">) and inoculation with </w:t>
      </w:r>
      <w:r w:rsidR="00F805D2">
        <w:rPr>
          <w:rFonts w:ascii="Times New Roman" w:hAnsi="Times New Roman" w:cs="Times New Roman"/>
          <w:i/>
          <w:iCs/>
        </w:rPr>
        <w:t xml:space="preserve">Plasmodiophora brassicae </w:t>
      </w:r>
      <w:r w:rsidR="00F805D2">
        <w:rPr>
          <w:rFonts w:ascii="Times New Roman" w:hAnsi="Times New Roman" w:cs="Times New Roman"/>
        </w:rPr>
        <w:t>pathotype 2</w:t>
      </w:r>
      <w:r w:rsidR="009E60B0">
        <w:rPr>
          <w:rFonts w:ascii="Times New Roman" w:hAnsi="Times New Roman" w:cs="Times New Roman"/>
        </w:rPr>
        <w:t xml:space="preserve"> (</w:t>
      </w:r>
      <w:r w:rsidR="00F9745F">
        <w:rPr>
          <w:rFonts w:ascii="Times New Roman" w:hAnsi="Times New Roman" w:cs="Times New Roman"/>
        </w:rPr>
        <w:t>-</w:t>
      </w:r>
      <w:r w:rsidR="009E60B0">
        <w:rPr>
          <w:rFonts w:ascii="Times New Roman" w:hAnsi="Times New Roman" w:cs="Times New Roman"/>
        </w:rPr>
        <w:t>/+)</w:t>
      </w:r>
      <w:r w:rsidR="00F805D2">
        <w:rPr>
          <w:rFonts w:ascii="Times New Roman" w:hAnsi="Times New Roman" w:cs="Times New Roman"/>
        </w:rPr>
        <w:t xml:space="preserve"> on </w:t>
      </w:r>
      <w:r w:rsidR="00781A48">
        <w:rPr>
          <w:rFonts w:ascii="Times New Roman" w:hAnsi="Times New Roman" w:cs="Times New Roman"/>
        </w:rPr>
        <w:t xml:space="preserve">fresh (A) and </w:t>
      </w:r>
      <w:r w:rsidR="00F805D2">
        <w:rPr>
          <w:rFonts w:ascii="Times New Roman" w:hAnsi="Times New Roman" w:cs="Times New Roman"/>
        </w:rPr>
        <w:t>dry</w:t>
      </w:r>
      <w:r w:rsidR="00781A48">
        <w:rPr>
          <w:rFonts w:ascii="Times New Roman" w:hAnsi="Times New Roman" w:cs="Times New Roman"/>
        </w:rPr>
        <w:t xml:space="preserve"> (B)</w:t>
      </w:r>
      <w:r w:rsidR="00F805D2">
        <w:rPr>
          <w:rFonts w:ascii="Times New Roman" w:hAnsi="Times New Roman" w:cs="Times New Roman"/>
        </w:rPr>
        <w:t xml:space="preserve"> weight of canola (10 plants per plot)</w:t>
      </w:r>
      <w:r w:rsidR="00F51273">
        <w:rPr>
          <w:rFonts w:ascii="Times New Roman" w:hAnsi="Times New Roman" w:cs="Times New Roman"/>
        </w:rPr>
        <w:t xml:space="preserve"> in Run 1</w:t>
      </w:r>
      <w:r w:rsidR="00F805D2">
        <w:rPr>
          <w:rFonts w:ascii="Times New Roman" w:hAnsi="Times New Roman" w:cs="Times New Roman"/>
        </w:rPr>
        <w:t xml:space="preserve">. </w:t>
      </w:r>
    </w:p>
    <w:p w14:paraId="544EB265" w14:textId="77777777" w:rsidR="007958FD" w:rsidRDefault="007958FD" w:rsidP="007D7B8A">
      <w:pPr>
        <w:spacing w:after="0"/>
        <w:rPr>
          <w:rFonts w:ascii="Times New Roman" w:hAnsi="Times New Roman" w:cs="Times New Roman"/>
        </w:rPr>
      </w:pPr>
    </w:p>
    <w:p w14:paraId="1E2DDE0D" w14:textId="75657BFC" w:rsidR="00F51273" w:rsidRDefault="00000000" w:rsidP="007D7B8A">
      <w:pPr>
        <w:spacing w:after="0"/>
        <w:rPr>
          <w:rFonts w:ascii="Times New Roman" w:hAnsi="Times New Roman" w:cs="Times New Roman"/>
        </w:rPr>
      </w:pPr>
      <w:r>
        <w:rPr>
          <w:noProof/>
        </w:rPr>
        <w:pict w14:anchorId="49848CC0">
          <v:shape id="_x0000_s1031" type="#_x0000_t202" style="position:absolute;margin-left:.95pt;margin-top:.3pt;width:17.2pt;height:22pt;z-index:251661311" filled="f" stroked="f">
            <v:textbox>
              <w:txbxContent>
                <w:p w14:paraId="7D186E53" w14:textId="2D4D586B" w:rsidR="007958FD" w:rsidRPr="007958FD" w:rsidRDefault="007958FD">
                  <w:pPr>
                    <w:rPr>
                      <w:b/>
                      <w:bCs/>
                    </w:rPr>
                  </w:pPr>
                  <w:r w:rsidRPr="007958FD"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5FB73A86">
          <v:shape id="_x0000_s1032" type="#_x0000_t202" style="position:absolute;margin-left:227.8pt;margin-top:.3pt;width:23.15pt;height:25.25pt;z-index:251662335" filled="f" stroked="f">
            <v:textbox>
              <w:txbxContent>
                <w:p w14:paraId="0CB7D8E1" w14:textId="0407E64A" w:rsidR="007958FD" w:rsidRPr="007958FD" w:rsidRDefault="007958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  <w:r w:rsidR="007958FD">
        <w:rPr>
          <w:noProof/>
        </w:rPr>
        <w:drawing>
          <wp:inline distT="0" distB="0" distL="0" distR="0" wp14:anchorId="6D965927" wp14:editId="7C0FBF53">
            <wp:extent cx="2858770" cy="1903863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052593A-7B67-1EE5-1DD6-585A0EF444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958FD">
        <w:rPr>
          <w:noProof/>
        </w:rPr>
        <w:drawing>
          <wp:inline distT="0" distB="0" distL="0" distR="0" wp14:anchorId="111547AC" wp14:editId="66DA3623">
            <wp:extent cx="2906395" cy="1909436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2C4B8D9-5F8F-FABA-8C22-4B2B27540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301722" w14:textId="228B06E7" w:rsidR="00C6225D" w:rsidRDefault="00C6225D" w:rsidP="00C6225D">
      <w:pPr>
        <w:spacing w:after="0"/>
        <w:rPr>
          <w:rFonts w:ascii="Times New Roman" w:hAnsi="Times New Roman" w:cs="Times New Roman"/>
        </w:rPr>
      </w:pPr>
      <w:r w:rsidRPr="007F4F67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Effect of lime (applied as HYDRATED LIME), boron (applied as SOLUBOR</w:t>
      </w:r>
      <w:r w:rsidR="009E60B0">
        <w:rPr>
          <w:rFonts w:ascii="Times New Roman" w:hAnsi="Times New Roman" w:cs="Times New Roman"/>
        </w:rPr>
        <w:t xml:space="preserve"> at 0 and 12 kg B/ha</w:t>
      </w:r>
      <w:r>
        <w:rPr>
          <w:rFonts w:ascii="Times New Roman" w:hAnsi="Times New Roman" w:cs="Times New Roman"/>
        </w:rPr>
        <w:t xml:space="preserve">) and inoculation with </w:t>
      </w:r>
      <w:r>
        <w:rPr>
          <w:rFonts w:ascii="Times New Roman" w:hAnsi="Times New Roman" w:cs="Times New Roman"/>
          <w:i/>
          <w:iCs/>
        </w:rPr>
        <w:t xml:space="preserve">Plasmodiophora brassicae </w:t>
      </w:r>
      <w:r>
        <w:rPr>
          <w:rFonts w:ascii="Times New Roman" w:hAnsi="Times New Roman" w:cs="Times New Roman"/>
        </w:rPr>
        <w:t>pathotype 2</w:t>
      </w:r>
      <w:r w:rsidR="009E60B0">
        <w:rPr>
          <w:rFonts w:ascii="Times New Roman" w:hAnsi="Times New Roman" w:cs="Times New Roman"/>
        </w:rPr>
        <w:t xml:space="preserve"> (-/+)</w:t>
      </w:r>
      <w:r>
        <w:rPr>
          <w:rFonts w:ascii="Times New Roman" w:hAnsi="Times New Roman" w:cs="Times New Roman"/>
        </w:rPr>
        <w:t xml:space="preserve"> on fresh (A) and dry (B) weight of canola (10 plants per plot) in Run 2. </w:t>
      </w:r>
    </w:p>
    <w:p w14:paraId="6F7DDDC8" w14:textId="77777777" w:rsidR="00C6225D" w:rsidRPr="00F805D2" w:rsidRDefault="00C6225D" w:rsidP="007D7B8A">
      <w:pPr>
        <w:spacing w:after="0"/>
        <w:rPr>
          <w:rFonts w:ascii="Times New Roman" w:hAnsi="Times New Roman" w:cs="Times New Roman"/>
        </w:rPr>
      </w:pPr>
    </w:p>
    <w:sectPr w:rsidR="00C6225D" w:rsidRPr="00F8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F8A"/>
    <w:rsid w:val="000360CF"/>
    <w:rsid w:val="00047D67"/>
    <w:rsid w:val="000757C3"/>
    <w:rsid w:val="0008177A"/>
    <w:rsid w:val="000828E6"/>
    <w:rsid w:val="00086B6B"/>
    <w:rsid w:val="0009289B"/>
    <w:rsid w:val="000945EB"/>
    <w:rsid w:val="000C469F"/>
    <w:rsid w:val="000F3BFC"/>
    <w:rsid w:val="00106A9F"/>
    <w:rsid w:val="001158DF"/>
    <w:rsid w:val="00126887"/>
    <w:rsid w:val="001962A2"/>
    <w:rsid w:val="001964DB"/>
    <w:rsid w:val="001B0756"/>
    <w:rsid w:val="00200D2C"/>
    <w:rsid w:val="002271EC"/>
    <w:rsid w:val="0022744E"/>
    <w:rsid w:val="002471E4"/>
    <w:rsid w:val="00292B71"/>
    <w:rsid w:val="002A0DC1"/>
    <w:rsid w:val="002A1DD7"/>
    <w:rsid w:val="002C3AA9"/>
    <w:rsid w:val="003739AE"/>
    <w:rsid w:val="003D1DC8"/>
    <w:rsid w:val="003D7BEF"/>
    <w:rsid w:val="003E7389"/>
    <w:rsid w:val="003F6C1B"/>
    <w:rsid w:val="00414162"/>
    <w:rsid w:val="004364B2"/>
    <w:rsid w:val="00447CDB"/>
    <w:rsid w:val="004735F5"/>
    <w:rsid w:val="004907A3"/>
    <w:rsid w:val="004A4CE9"/>
    <w:rsid w:val="004A6226"/>
    <w:rsid w:val="004B293A"/>
    <w:rsid w:val="004C6A8F"/>
    <w:rsid w:val="004E3065"/>
    <w:rsid w:val="004F1CF3"/>
    <w:rsid w:val="005043BE"/>
    <w:rsid w:val="005264E5"/>
    <w:rsid w:val="0054011E"/>
    <w:rsid w:val="005628A4"/>
    <w:rsid w:val="00575056"/>
    <w:rsid w:val="00592512"/>
    <w:rsid w:val="005A5404"/>
    <w:rsid w:val="005D0606"/>
    <w:rsid w:val="00600EE8"/>
    <w:rsid w:val="00604071"/>
    <w:rsid w:val="00605E42"/>
    <w:rsid w:val="00610F2D"/>
    <w:rsid w:val="00651C22"/>
    <w:rsid w:val="006B7A15"/>
    <w:rsid w:val="006D51C4"/>
    <w:rsid w:val="006D6DC1"/>
    <w:rsid w:val="006E5EA3"/>
    <w:rsid w:val="006F1045"/>
    <w:rsid w:val="00707ACC"/>
    <w:rsid w:val="00781A48"/>
    <w:rsid w:val="007958FD"/>
    <w:rsid w:val="007B58C0"/>
    <w:rsid w:val="007C5626"/>
    <w:rsid w:val="007D7B8A"/>
    <w:rsid w:val="007E5293"/>
    <w:rsid w:val="007F4F67"/>
    <w:rsid w:val="008425C1"/>
    <w:rsid w:val="008562AE"/>
    <w:rsid w:val="0087170B"/>
    <w:rsid w:val="00897245"/>
    <w:rsid w:val="0089782D"/>
    <w:rsid w:val="008A3D18"/>
    <w:rsid w:val="008E5F88"/>
    <w:rsid w:val="0093684E"/>
    <w:rsid w:val="00954E43"/>
    <w:rsid w:val="00961AAE"/>
    <w:rsid w:val="00997178"/>
    <w:rsid w:val="009B4E32"/>
    <w:rsid w:val="009D7E61"/>
    <w:rsid w:val="009E60B0"/>
    <w:rsid w:val="00A04A85"/>
    <w:rsid w:val="00A074F2"/>
    <w:rsid w:val="00A161CE"/>
    <w:rsid w:val="00A41126"/>
    <w:rsid w:val="00A44672"/>
    <w:rsid w:val="00A4762D"/>
    <w:rsid w:val="00A75FD6"/>
    <w:rsid w:val="00A9705C"/>
    <w:rsid w:val="00AC6E0B"/>
    <w:rsid w:val="00AF14AB"/>
    <w:rsid w:val="00B00D0B"/>
    <w:rsid w:val="00B26331"/>
    <w:rsid w:val="00B36A23"/>
    <w:rsid w:val="00B51B36"/>
    <w:rsid w:val="00B87136"/>
    <w:rsid w:val="00BB547E"/>
    <w:rsid w:val="00BC0EE9"/>
    <w:rsid w:val="00BE14D7"/>
    <w:rsid w:val="00C003DA"/>
    <w:rsid w:val="00C247FF"/>
    <w:rsid w:val="00C25F91"/>
    <w:rsid w:val="00C41DC6"/>
    <w:rsid w:val="00C6225D"/>
    <w:rsid w:val="00CB3039"/>
    <w:rsid w:val="00CB4DB3"/>
    <w:rsid w:val="00CB64B4"/>
    <w:rsid w:val="00CB7CBA"/>
    <w:rsid w:val="00CD1197"/>
    <w:rsid w:val="00CF23FC"/>
    <w:rsid w:val="00D01278"/>
    <w:rsid w:val="00D73EB9"/>
    <w:rsid w:val="00D74A53"/>
    <w:rsid w:val="00D7602C"/>
    <w:rsid w:val="00D9194F"/>
    <w:rsid w:val="00DB2C67"/>
    <w:rsid w:val="00DB4DED"/>
    <w:rsid w:val="00DC62FB"/>
    <w:rsid w:val="00DE2C0C"/>
    <w:rsid w:val="00DE3BFA"/>
    <w:rsid w:val="00E012CE"/>
    <w:rsid w:val="00E075AA"/>
    <w:rsid w:val="00E20294"/>
    <w:rsid w:val="00E35D9B"/>
    <w:rsid w:val="00E53BA7"/>
    <w:rsid w:val="00E60EAE"/>
    <w:rsid w:val="00E8178F"/>
    <w:rsid w:val="00E86F05"/>
    <w:rsid w:val="00EA1025"/>
    <w:rsid w:val="00EC0521"/>
    <w:rsid w:val="00EC226C"/>
    <w:rsid w:val="00ED1FC0"/>
    <w:rsid w:val="00F03B19"/>
    <w:rsid w:val="00F2362D"/>
    <w:rsid w:val="00F44038"/>
    <w:rsid w:val="00F441EE"/>
    <w:rsid w:val="00F51273"/>
    <w:rsid w:val="00F75F8A"/>
    <w:rsid w:val="00F805D2"/>
    <w:rsid w:val="00F87E59"/>
    <w:rsid w:val="00F9745F"/>
    <w:rsid w:val="00FA5C09"/>
    <w:rsid w:val="00FC630B"/>
    <w:rsid w:val="00FD717F"/>
    <w:rsid w:val="00FD7979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673F447"/>
  <w15:docId w15:val="{0AB17CE6-4F49-480C-9F25-41C1F8D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grad%20school\thesis\results\boron%20x%20calcium%20growth%20room%20S22\boron%20x%20calcium%20growth%20room%20S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grad%20school\thesis\results\boron%20x%20calcium%20growth%20room%20S22\boron%20x%20calcium%20growth%20room%20S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grad%20school\thesis\results\boron%20x%20calcium%20growth%20room%20F22\bxca%20growth%20room%20F22%20curren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grad%20school\thesis\results\boron%20x%20calcium%20growth%20room%20F22\bxca%20growth%20room%20F22%20curren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pH 6.4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presentation'!$I$3:$I$6</c:f>
              <c:numCache>
                <c:formatCode>General</c:formatCode>
                <c:ptCount val="4"/>
                <c:pt idx="0">
                  <c:v>67.8</c:v>
                </c:pt>
                <c:pt idx="1">
                  <c:v>61.8</c:v>
                </c:pt>
                <c:pt idx="2">
                  <c:v>42.17</c:v>
                </c:pt>
                <c:pt idx="3">
                  <c:v>40.42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E1-4B14-9665-293015C33C9D}"/>
            </c:ext>
          </c:extLst>
        </c:ser>
        <c:ser>
          <c:idx val="1"/>
          <c:order val="1"/>
          <c:tx>
            <c:v>pH 7.0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presentation'!$I$7:$I$10</c:f>
              <c:numCache>
                <c:formatCode>General</c:formatCode>
                <c:ptCount val="4"/>
                <c:pt idx="0">
                  <c:v>55.62</c:v>
                </c:pt>
                <c:pt idx="1">
                  <c:v>58.8</c:v>
                </c:pt>
                <c:pt idx="2">
                  <c:v>56.27</c:v>
                </c:pt>
                <c:pt idx="3">
                  <c:v>49.87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E1-4B14-9665-293015C33C9D}"/>
            </c:ext>
          </c:extLst>
        </c:ser>
        <c:ser>
          <c:idx val="2"/>
          <c:order val="2"/>
          <c:tx>
            <c:v>pH 7.5</c:v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presentation'!$I$11:$I$14</c:f>
              <c:numCache>
                <c:formatCode>General</c:formatCode>
                <c:ptCount val="4"/>
                <c:pt idx="0">
                  <c:v>52.77</c:v>
                </c:pt>
                <c:pt idx="1">
                  <c:v>54.12</c:v>
                </c:pt>
                <c:pt idx="2">
                  <c:v>43.5</c:v>
                </c:pt>
                <c:pt idx="3">
                  <c:v>45.8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E1-4B14-9665-293015C33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965120"/>
        <c:axId val="458967088"/>
      </c:lineChart>
      <c:catAx>
        <c:axId val="4589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967088"/>
        <c:crosses val="autoZero"/>
        <c:auto val="1"/>
        <c:lblAlgn val="ctr"/>
        <c:lblOffset val="100"/>
        <c:noMultiLvlLbl val="0"/>
      </c:catAx>
      <c:valAx>
        <c:axId val="45896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Fresh weight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96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pH 6.4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presentation'!$G$3:$G$6</c:f>
              <c:numCache>
                <c:formatCode>General</c:formatCode>
                <c:ptCount val="4"/>
                <c:pt idx="0">
                  <c:v>12.25</c:v>
                </c:pt>
                <c:pt idx="1">
                  <c:v>11</c:v>
                </c:pt>
                <c:pt idx="2">
                  <c:v>6.9</c:v>
                </c:pt>
                <c:pt idx="3">
                  <c:v>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E5-4D06-AD96-4DBE30BF8C14}"/>
            </c:ext>
          </c:extLst>
        </c:ser>
        <c:ser>
          <c:idx val="1"/>
          <c:order val="1"/>
          <c:tx>
            <c:v>pH 7.0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presentation'!$G$7:$G$10</c:f>
              <c:numCache>
                <c:formatCode>General</c:formatCode>
                <c:ptCount val="4"/>
                <c:pt idx="0">
                  <c:v>8.75</c:v>
                </c:pt>
                <c:pt idx="1">
                  <c:v>9.85</c:v>
                </c:pt>
                <c:pt idx="2">
                  <c:v>8.57</c:v>
                </c:pt>
                <c:pt idx="3">
                  <c:v>7.75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E5-4D06-AD96-4DBE30BF8C14}"/>
            </c:ext>
          </c:extLst>
        </c:ser>
        <c:ser>
          <c:idx val="2"/>
          <c:order val="2"/>
          <c:tx>
            <c:v>pH 7.5</c:v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'for data presentation'!$E$3:$E$6</c:f>
              <c:strCache>
                <c:ptCount val="4"/>
                <c:pt idx="0">
                  <c:v>0 kg/ha (-)</c:v>
                </c:pt>
                <c:pt idx="1">
                  <c:v>4 kg/ha (-)</c:v>
                </c:pt>
                <c:pt idx="2">
                  <c:v>0 kg/ha (+)</c:v>
                </c:pt>
                <c:pt idx="3">
                  <c:v>4 kg/ha (+)</c:v>
                </c:pt>
              </c:strCache>
            </c:strRef>
          </c:cat>
          <c:val>
            <c:numRef>
              <c:f>'for data presentation'!$G$11:$G$14</c:f>
              <c:numCache>
                <c:formatCode>General</c:formatCode>
                <c:ptCount val="4"/>
                <c:pt idx="0">
                  <c:v>7.17</c:v>
                </c:pt>
                <c:pt idx="1">
                  <c:v>7.62</c:v>
                </c:pt>
                <c:pt idx="2">
                  <c:v>6.8</c:v>
                </c:pt>
                <c:pt idx="3">
                  <c:v>6.15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E5-4D06-AD96-4DBE30BF8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8889712"/>
        <c:axId val="788892992"/>
      </c:lineChart>
      <c:catAx>
        <c:axId val="78888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92992"/>
        <c:crosses val="autoZero"/>
        <c:auto val="1"/>
        <c:lblAlgn val="ctr"/>
        <c:lblOffset val="100"/>
        <c:noMultiLvlLbl val="0"/>
      </c:catAx>
      <c:valAx>
        <c:axId val="78889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Dry Weigth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888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350" cap="flat" cmpd="sng" algn="ctr">
      <a:solidFill>
        <a:schemeClr val="bg2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pH 6.4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presentation'!$F$2:$F$5</c:f>
              <c:numCache>
                <c:formatCode>General</c:formatCode>
                <c:ptCount val="4"/>
                <c:pt idx="0">
                  <c:v>38.9</c:v>
                </c:pt>
                <c:pt idx="1">
                  <c:v>34.340000000000003</c:v>
                </c:pt>
                <c:pt idx="2">
                  <c:v>18.68</c:v>
                </c:pt>
                <c:pt idx="3">
                  <c:v>17.37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A8-4B1D-BE28-F92F1F5EEAA5}"/>
            </c:ext>
          </c:extLst>
        </c:ser>
        <c:ser>
          <c:idx val="1"/>
          <c:order val="1"/>
          <c:tx>
            <c:v>pH 7.0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presentation'!$F$6:$F$9</c:f>
              <c:numCache>
                <c:formatCode>General</c:formatCode>
                <c:ptCount val="4"/>
                <c:pt idx="0">
                  <c:v>39.42</c:v>
                </c:pt>
                <c:pt idx="1">
                  <c:v>32.75</c:v>
                </c:pt>
                <c:pt idx="2">
                  <c:v>34.92</c:v>
                </c:pt>
                <c:pt idx="3">
                  <c:v>34.28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A8-4B1D-BE28-F92F1F5EEAA5}"/>
            </c:ext>
          </c:extLst>
        </c:ser>
        <c:ser>
          <c:idx val="2"/>
          <c:order val="2"/>
          <c:tx>
            <c:v>pH 7.5</c:v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presentation'!$F$10:$F$13</c:f>
              <c:numCache>
                <c:formatCode>General</c:formatCode>
                <c:ptCount val="4"/>
                <c:pt idx="0">
                  <c:v>40.43</c:v>
                </c:pt>
                <c:pt idx="1">
                  <c:v>34.299999999999997</c:v>
                </c:pt>
                <c:pt idx="2">
                  <c:v>32.950000000000003</c:v>
                </c:pt>
                <c:pt idx="3">
                  <c:v>39.35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A8-4B1D-BE28-F92F1F5EE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673296"/>
        <c:axId val="740665752"/>
      </c:lineChart>
      <c:catAx>
        <c:axId val="74067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665752"/>
        <c:crosses val="autoZero"/>
        <c:auto val="1"/>
        <c:lblAlgn val="ctr"/>
        <c:lblOffset val="100"/>
        <c:noMultiLvlLbl val="0"/>
      </c:catAx>
      <c:valAx>
        <c:axId val="74066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Fresh Weight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67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pH 6.4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presentation'!$H$2:$H$5</c:f>
              <c:numCache>
                <c:formatCode>General</c:formatCode>
                <c:ptCount val="4"/>
                <c:pt idx="0">
                  <c:v>5.8</c:v>
                </c:pt>
                <c:pt idx="1">
                  <c:v>5.18</c:v>
                </c:pt>
                <c:pt idx="2">
                  <c:v>2.93</c:v>
                </c:pt>
                <c:pt idx="3">
                  <c:v>2.67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F4-47C3-8C3B-B48393BBFAF6}"/>
            </c:ext>
          </c:extLst>
        </c:ser>
        <c:ser>
          <c:idx val="1"/>
          <c:order val="1"/>
          <c:tx>
            <c:v>pH 7.0</c:v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presentation'!$H$6:$H$9</c:f>
              <c:numCache>
                <c:formatCode>General</c:formatCode>
                <c:ptCount val="4"/>
                <c:pt idx="0">
                  <c:v>6.13</c:v>
                </c:pt>
                <c:pt idx="1">
                  <c:v>5.13</c:v>
                </c:pt>
                <c:pt idx="2">
                  <c:v>6.1</c:v>
                </c:pt>
                <c:pt idx="3">
                  <c:v>5.38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F4-47C3-8C3B-B48393BBFAF6}"/>
            </c:ext>
          </c:extLst>
        </c:ser>
        <c:ser>
          <c:idx val="2"/>
          <c:order val="2"/>
          <c:tx>
            <c:v>pH 7.5</c:v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</a:ln>
              <a:effectLst/>
            </c:spPr>
          </c:marker>
          <c:cat>
            <c:strRef>
              <c:f>'for data presentation'!$C$2:$C$5</c:f>
              <c:strCache>
                <c:ptCount val="4"/>
                <c:pt idx="0">
                  <c:v>0 kg/ha(-)</c:v>
                </c:pt>
                <c:pt idx="1">
                  <c:v>12 kg/ha(-)</c:v>
                </c:pt>
                <c:pt idx="2">
                  <c:v>0 kg/ha (+)</c:v>
                </c:pt>
                <c:pt idx="3">
                  <c:v>12 kg/ha(+)</c:v>
                </c:pt>
              </c:strCache>
            </c:strRef>
          </c:cat>
          <c:val>
            <c:numRef>
              <c:f>'for data presentation'!$H$10:$H$13</c:f>
              <c:numCache>
                <c:formatCode>General</c:formatCode>
                <c:ptCount val="4"/>
                <c:pt idx="0">
                  <c:v>5.88</c:v>
                </c:pt>
                <c:pt idx="1">
                  <c:v>5.28</c:v>
                </c:pt>
                <c:pt idx="2">
                  <c:v>5.28</c:v>
                </c:pt>
                <c:pt idx="3">
                  <c:v>5.98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F4-47C3-8C3B-B48393BBF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691968"/>
        <c:axId val="675698528"/>
      </c:lineChart>
      <c:catAx>
        <c:axId val="6756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698528"/>
        <c:crosses val="autoZero"/>
        <c:auto val="1"/>
        <c:lblAlgn val="ctr"/>
        <c:lblOffset val="100"/>
        <c:noMultiLvlLbl val="0"/>
      </c:catAx>
      <c:valAx>
        <c:axId val="67569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Dry Weight (g)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69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Chesney</dc:creator>
  <cp:keywords/>
  <dc:description/>
  <cp:lastModifiedBy>Shauna Chesney</cp:lastModifiedBy>
  <cp:revision>26</cp:revision>
  <dcterms:created xsi:type="dcterms:W3CDTF">2023-01-09T15:44:00Z</dcterms:created>
  <dcterms:modified xsi:type="dcterms:W3CDTF">2023-02-24T19:02:00Z</dcterms:modified>
</cp:coreProperties>
</file>